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353" w:rsidRDefault="006D0353" w:rsidP="002A23FF">
      <w:pPr>
        <w:autoSpaceDE w:val="0"/>
        <w:autoSpaceDN w:val="0"/>
        <w:adjustRightInd w:val="0"/>
        <w:ind w:left="5670"/>
        <w:rPr>
          <w:rFonts w:ascii="Times New Roman CYR" w:hAnsi="Times New Roman CYR" w:cs="Times New Roman CYR"/>
          <w:sz w:val="28"/>
          <w:szCs w:val="28"/>
        </w:rPr>
      </w:pPr>
      <w:r>
        <w:rPr>
          <w:rFonts w:ascii="Times New Roman CYR" w:hAnsi="Times New Roman CYR" w:cs="Times New Roman CYR"/>
          <w:sz w:val="28"/>
          <w:szCs w:val="28"/>
        </w:rPr>
        <w:t>СХВАЛЕНО</w:t>
      </w:r>
    </w:p>
    <w:p w:rsidR="002A23FF" w:rsidRDefault="002A23FF" w:rsidP="002A23FF">
      <w:pPr>
        <w:autoSpaceDE w:val="0"/>
        <w:autoSpaceDN w:val="0"/>
        <w:adjustRightInd w:val="0"/>
        <w:ind w:left="5670"/>
        <w:rPr>
          <w:rFonts w:ascii="Times New Roman CYR" w:hAnsi="Times New Roman CYR" w:cs="Times New Roman CYR"/>
          <w:sz w:val="28"/>
          <w:szCs w:val="28"/>
        </w:rPr>
      </w:pPr>
    </w:p>
    <w:p w:rsidR="006D0353" w:rsidRDefault="002A23FF" w:rsidP="002A23FF">
      <w:pPr>
        <w:autoSpaceDE w:val="0"/>
        <w:autoSpaceDN w:val="0"/>
        <w:adjustRightInd w:val="0"/>
        <w:ind w:left="5670"/>
        <w:rPr>
          <w:rFonts w:ascii="Times New Roman CYR" w:hAnsi="Times New Roman CYR" w:cs="Times New Roman CYR"/>
          <w:sz w:val="28"/>
          <w:szCs w:val="28"/>
        </w:rPr>
      </w:pPr>
      <w:r>
        <w:rPr>
          <w:rFonts w:ascii="Times New Roman CYR" w:hAnsi="Times New Roman CYR" w:cs="Times New Roman CYR"/>
          <w:sz w:val="28"/>
          <w:szCs w:val="28"/>
        </w:rPr>
        <w:t>Розпорядження</w:t>
      </w:r>
      <w:r w:rsidR="006D0353">
        <w:rPr>
          <w:rFonts w:ascii="Times New Roman CYR" w:hAnsi="Times New Roman CYR" w:cs="Times New Roman CYR"/>
          <w:sz w:val="28"/>
          <w:szCs w:val="28"/>
        </w:rPr>
        <w:t xml:space="preserve"> голови</w:t>
      </w:r>
      <w:r>
        <w:rPr>
          <w:rFonts w:ascii="Times New Roman CYR" w:hAnsi="Times New Roman CYR" w:cs="Times New Roman CYR"/>
          <w:sz w:val="28"/>
          <w:szCs w:val="28"/>
        </w:rPr>
        <w:t xml:space="preserve"> районної  державної адміністрації</w:t>
      </w:r>
    </w:p>
    <w:p w:rsidR="002A23FF" w:rsidRDefault="002A23FF" w:rsidP="002A23FF">
      <w:pPr>
        <w:autoSpaceDE w:val="0"/>
        <w:autoSpaceDN w:val="0"/>
        <w:adjustRightInd w:val="0"/>
        <w:ind w:left="5670"/>
        <w:rPr>
          <w:rFonts w:ascii="Times New Roman CYR" w:hAnsi="Times New Roman CYR" w:cs="Times New Roman CYR"/>
          <w:sz w:val="28"/>
          <w:szCs w:val="28"/>
        </w:rPr>
      </w:pPr>
    </w:p>
    <w:p w:rsidR="006D0353" w:rsidRPr="006D0353" w:rsidRDefault="002A23FF" w:rsidP="002A23FF">
      <w:pPr>
        <w:autoSpaceDE w:val="0"/>
        <w:autoSpaceDN w:val="0"/>
        <w:adjustRightInd w:val="0"/>
        <w:ind w:left="5670" w:right="142"/>
        <w:rPr>
          <w:sz w:val="28"/>
          <w:szCs w:val="28"/>
          <w:lang w:val="ru-RU"/>
        </w:rPr>
      </w:pPr>
      <w:r>
        <w:rPr>
          <w:sz w:val="28"/>
          <w:szCs w:val="28"/>
          <w:lang w:val="ru-RU"/>
        </w:rPr>
        <w:t xml:space="preserve">   </w:t>
      </w:r>
      <w:r w:rsidR="001A15B2">
        <w:rPr>
          <w:sz w:val="28"/>
          <w:szCs w:val="28"/>
          <w:lang w:val="ru-RU"/>
        </w:rPr>
        <w:t>19</w:t>
      </w:r>
      <w:r>
        <w:rPr>
          <w:sz w:val="28"/>
          <w:szCs w:val="28"/>
          <w:lang w:val="ru-RU"/>
        </w:rPr>
        <w:t xml:space="preserve"> серпня 2021 року №</w:t>
      </w:r>
      <w:r w:rsidR="001A15B2">
        <w:rPr>
          <w:sz w:val="28"/>
          <w:szCs w:val="28"/>
          <w:lang w:val="ru-RU"/>
        </w:rPr>
        <w:t xml:space="preserve"> 165</w:t>
      </w:r>
      <w:bookmarkStart w:id="0" w:name="_GoBack"/>
      <w:bookmarkEnd w:id="0"/>
    </w:p>
    <w:p w:rsidR="006D0353" w:rsidRPr="002A23FF" w:rsidRDefault="006D0353" w:rsidP="002A23FF">
      <w:pPr>
        <w:autoSpaceDE w:val="0"/>
        <w:autoSpaceDN w:val="0"/>
        <w:adjustRightInd w:val="0"/>
        <w:ind w:left="5670" w:firstLine="851"/>
        <w:jc w:val="right"/>
        <w:rPr>
          <w:bCs/>
          <w:sz w:val="28"/>
          <w:szCs w:val="28"/>
          <w:lang w:val="ru-RU"/>
        </w:rPr>
      </w:pPr>
    </w:p>
    <w:p w:rsidR="006D0353" w:rsidRPr="002A23FF" w:rsidRDefault="00212267" w:rsidP="00212267">
      <w:pPr>
        <w:tabs>
          <w:tab w:val="center" w:pos="5411"/>
        </w:tabs>
        <w:autoSpaceDE w:val="0"/>
        <w:autoSpaceDN w:val="0"/>
        <w:adjustRightInd w:val="0"/>
        <w:ind w:firstLine="851"/>
        <w:rPr>
          <w:rFonts w:ascii="Times New Roman CYR" w:hAnsi="Times New Roman CYR" w:cs="Times New Roman CYR"/>
          <w:bCs/>
          <w:sz w:val="28"/>
          <w:szCs w:val="28"/>
        </w:rPr>
      </w:pPr>
      <w:r>
        <w:rPr>
          <w:rFonts w:ascii="Times New Roman CYR" w:hAnsi="Times New Roman CYR" w:cs="Times New Roman CYR"/>
          <w:bCs/>
          <w:sz w:val="28"/>
          <w:szCs w:val="28"/>
        </w:rPr>
        <w:t xml:space="preserve">                                               П</w:t>
      </w:r>
      <w:r w:rsidR="006D0353" w:rsidRPr="002A23FF">
        <w:rPr>
          <w:rFonts w:ascii="Times New Roman CYR" w:hAnsi="Times New Roman CYR" w:cs="Times New Roman CYR"/>
          <w:bCs/>
          <w:sz w:val="28"/>
          <w:szCs w:val="28"/>
        </w:rPr>
        <w:t>РОГНОЗ</w:t>
      </w:r>
    </w:p>
    <w:p w:rsidR="006D0353" w:rsidRDefault="00212267" w:rsidP="00212267">
      <w:pPr>
        <w:tabs>
          <w:tab w:val="left" w:pos="1125"/>
          <w:tab w:val="center" w:pos="5411"/>
        </w:tabs>
        <w:autoSpaceDE w:val="0"/>
        <w:autoSpaceDN w:val="0"/>
        <w:adjustRightInd w:val="0"/>
        <w:ind w:firstLine="851"/>
        <w:rPr>
          <w:rFonts w:ascii="Times New Roman CYR" w:hAnsi="Times New Roman CYR" w:cs="Times New Roman CYR"/>
          <w:bCs/>
          <w:sz w:val="28"/>
          <w:szCs w:val="28"/>
        </w:rPr>
      </w:pPr>
      <w:r>
        <w:rPr>
          <w:rFonts w:ascii="Times New Roman CYR" w:hAnsi="Times New Roman CYR" w:cs="Times New Roman CYR"/>
          <w:bCs/>
          <w:sz w:val="28"/>
          <w:szCs w:val="28"/>
        </w:rPr>
        <w:tab/>
        <w:t xml:space="preserve">            </w:t>
      </w:r>
      <w:r w:rsidR="006D0353" w:rsidRPr="002A23FF">
        <w:rPr>
          <w:rFonts w:ascii="Times New Roman CYR" w:hAnsi="Times New Roman CYR" w:cs="Times New Roman CYR"/>
          <w:bCs/>
          <w:sz w:val="28"/>
          <w:szCs w:val="28"/>
        </w:rPr>
        <w:t>Луцького районного</w:t>
      </w:r>
      <w:r w:rsidR="00B123DA" w:rsidRPr="002A23FF">
        <w:rPr>
          <w:rFonts w:ascii="Times New Roman CYR" w:hAnsi="Times New Roman CYR" w:cs="Times New Roman CYR"/>
          <w:bCs/>
          <w:sz w:val="28"/>
          <w:szCs w:val="28"/>
        </w:rPr>
        <w:t xml:space="preserve"> </w:t>
      </w:r>
      <w:r w:rsidR="006D0353" w:rsidRPr="002A23FF">
        <w:rPr>
          <w:rFonts w:ascii="Times New Roman CYR" w:hAnsi="Times New Roman CYR" w:cs="Times New Roman CYR"/>
          <w:bCs/>
          <w:sz w:val="28"/>
          <w:szCs w:val="28"/>
        </w:rPr>
        <w:t>бюджету на 2022-2024 роки</w:t>
      </w:r>
    </w:p>
    <w:p w:rsidR="00212267" w:rsidRPr="002A23FF" w:rsidRDefault="00212267" w:rsidP="00212267">
      <w:pPr>
        <w:tabs>
          <w:tab w:val="left" w:pos="1125"/>
          <w:tab w:val="center" w:pos="5411"/>
        </w:tabs>
        <w:autoSpaceDE w:val="0"/>
        <w:autoSpaceDN w:val="0"/>
        <w:adjustRightInd w:val="0"/>
        <w:ind w:firstLine="851"/>
        <w:rPr>
          <w:rFonts w:ascii="Times New Roman CYR" w:hAnsi="Times New Roman CYR" w:cs="Times New Roman CYR"/>
          <w:bCs/>
          <w:sz w:val="28"/>
          <w:szCs w:val="28"/>
        </w:rPr>
      </w:pPr>
    </w:p>
    <w:p w:rsidR="006D0353" w:rsidRPr="006D0353" w:rsidRDefault="00212267" w:rsidP="00212267">
      <w:pPr>
        <w:autoSpaceDE w:val="0"/>
        <w:autoSpaceDN w:val="0"/>
        <w:adjustRightInd w:val="0"/>
        <w:rPr>
          <w:sz w:val="20"/>
          <w:szCs w:val="20"/>
          <w:lang w:val="ru-RU"/>
        </w:rPr>
      </w:pPr>
      <w:r>
        <w:rPr>
          <w:sz w:val="20"/>
          <w:szCs w:val="20"/>
          <w:lang w:val="ru-RU"/>
        </w:rPr>
        <w:t xml:space="preserve"> </w:t>
      </w:r>
      <w:r w:rsidR="006D0353" w:rsidRPr="006D0353">
        <w:rPr>
          <w:sz w:val="20"/>
          <w:szCs w:val="20"/>
          <w:lang w:val="ru-RU"/>
        </w:rPr>
        <w:t>0330820000</w:t>
      </w:r>
    </w:p>
    <w:p w:rsidR="006D0353" w:rsidRDefault="006D0353" w:rsidP="00212267">
      <w:pPr>
        <w:autoSpaceDE w:val="0"/>
        <w:autoSpaceDN w:val="0"/>
        <w:adjustRightInd w:val="0"/>
        <w:jc w:val="both"/>
        <w:rPr>
          <w:rFonts w:ascii="Times New Roman CYR" w:hAnsi="Times New Roman CYR" w:cs="Times New Roman CYR"/>
          <w:sz w:val="20"/>
          <w:szCs w:val="20"/>
        </w:rPr>
      </w:pPr>
      <w:r w:rsidRPr="006D0353">
        <w:rPr>
          <w:sz w:val="20"/>
          <w:szCs w:val="20"/>
          <w:lang w:val="ru-RU"/>
        </w:rPr>
        <w:t xml:space="preserve"> (</w:t>
      </w:r>
      <w:r>
        <w:rPr>
          <w:rFonts w:ascii="Times New Roman CYR" w:hAnsi="Times New Roman CYR" w:cs="Times New Roman CYR"/>
          <w:sz w:val="20"/>
          <w:szCs w:val="20"/>
        </w:rPr>
        <w:t>код бюджету)</w:t>
      </w:r>
    </w:p>
    <w:p w:rsidR="006D0353" w:rsidRDefault="006D0353" w:rsidP="006D0353">
      <w:pPr>
        <w:autoSpaceDE w:val="0"/>
        <w:autoSpaceDN w:val="0"/>
        <w:adjustRightInd w:val="0"/>
        <w:ind w:firstLine="851"/>
        <w:jc w:val="center"/>
        <w:rPr>
          <w:rFonts w:ascii="Times New Roman CYR" w:hAnsi="Times New Roman CYR" w:cs="Times New Roman CYR"/>
          <w:b/>
          <w:bCs/>
          <w:sz w:val="28"/>
          <w:szCs w:val="28"/>
        </w:rPr>
      </w:pPr>
      <w:r>
        <w:rPr>
          <w:rFonts w:ascii="Times New Roman CYR" w:hAnsi="Times New Roman CYR" w:cs="Times New Roman CYR"/>
          <w:b/>
          <w:bCs/>
          <w:sz w:val="28"/>
          <w:szCs w:val="28"/>
        </w:rPr>
        <w:t>І. Загальна частина</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Прогноз Луцького районного бюджету (далі – Прогноз) розроблено на основі положень Бюджетного кодексу України та Податкового кодексу України, ґрунтується на положеннях Програми діяльності Кабінету Міністрів України, Цілей сталого розвитку України на період до 2030 року, Стратегії економічної безпеки України на період до 2025</w:t>
      </w:r>
      <w:r w:rsidR="002A23FF">
        <w:rPr>
          <w:rFonts w:ascii="Times New Roman CYR" w:hAnsi="Times New Roman CYR" w:cs="Times New Roman CYR"/>
          <w:sz w:val="28"/>
          <w:szCs w:val="28"/>
        </w:rPr>
        <w:t xml:space="preserve"> року</w:t>
      </w:r>
      <w:r>
        <w:rPr>
          <w:rFonts w:ascii="Times New Roman CYR" w:hAnsi="Times New Roman CYR" w:cs="Times New Roman CYR"/>
          <w:sz w:val="28"/>
          <w:szCs w:val="28"/>
        </w:rPr>
        <w:t xml:space="preserve"> та складено відповідно до прогнозних та програмних документів економічного і соціального розвитку країни та району, регіональних та державних цільових програм.</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Спрямоване на забезпечення економічного зростання та сталого розвитку району.</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Мета прогнозу – запровадження середньострокового бюджетного прогнозування для встановлення взаємозв’язку між стратегічними цілями розвитку району та можливостями бюджету.</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Основними цілями бюджетної політики Луцького району в 2022-2024 роках є:</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забезпечення надходжень до Луцького районного бюджету з урахуванням позитивної динаміки у порівнянні з попередніми роками;</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rPr>
        <w:t xml:space="preserve">- </w:t>
      </w:r>
      <w:r>
        <w:rPr>
          <w:rFonts w:ascii="Times New Roman CYR" w:hAnsi="Times New Roman CYR" w:cs="Times New Roman CYR"/>
          <w:sz w:val="28"/>
          <w:szCs w:val="28"/>
        </w:rPr>
        <w:t>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rPr>
        <w:t xml:space="preserve">- </w:t>
      </w:r>
      <w:r>
        <w:rPr>
          <w:rFonts w:ascii="Times New Roman CYR" w:hAnsi="Times New Roman CYR" w:cs="Times New Roman CYR"/>
          <w:sz w:val="28"/>
          <w:szCs w:val="28"/>
        </w:rPr>
        <w:t>забезпечення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 виходячи із можливості дохідної частини</w:t>
      </w:r>
      <w:r w:rsidR="00597D7B" w:rsidRPr="00597D7B">
        <w:rPr>
          <w:rFonts w:ascii="Times New Roman CYR" w:hAnsi="Times New Roman CYR" w:cs="Times New Roman CYR"/>
          <w:sz w:val="28"/>
          <w:szCs w:val="28"/>
        </w:rPr>
        <w:t xml:space="preserve"> </w:t>
      </w:r>
      <w:r w:rsidR="00597D7B">
        <w:rPr>
          <w:rFonts w:ascii="Times New Roman CYR" w:hAnsi="Times New Roman CYR" w:cs="Times New Roman CYR"/>
          <w:sz w:val="28"/>
          <w:szCs w:val="28"/>
        </w:rPr>
        <w:t>бюджету</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здійснення видатків бюджету відповідно до соціальних стандартів;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визначення резервів росту доходів.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Основними завданнями Прогнозу є:</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забезпечення виконання дох</w:t>
      </w:r>
      <w:r w:rsidR="002A23FF">
        <w:rPr>
          <w:rFonts w:ascii="Times New Roman CYR" w:hAnsi="Times New Roman CYR" w:cs="Times New Roman CYR"/>
          <w:sz w:val="28"/>
          <w:szCs w:val="28"/>
        </w:rPr>
        <w:t>і</w:t>
      </w:r>
      <w:r>
        <w:rPr>
          <w:rFonts w:ascii="Times New Roman CYR" w:hAnsi="Times New Roman CYR" w:cs="Times New Roman CYR"/>
          <w:sz w:val="28"/>
          <w:szCs w:val="28"/>
        </w:rPr>
        <w:t>дної частини Луцького районного бюджету  відповідно до показників, затверджених районною радою;</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lastRenderedPageBreak/>
        <w:t xml:space="preserve">- </w:t>
      </w:r>
      <w:r>
        <w:rPr>
          <w:rFonts w:ascii="Times New Roman CYR" w:hAnsi="Times New Roman CYR" w:cs="Times New Roman CYR"/>
          <w:sz w:val="28"/>
          <w:szCs w:val="28"/>
        </w:rPr>
        <w:t>вжиття заходів до залучення додаткових надходжень до бюджету, зокрема, шляхом забезпечення ефективного управління об’єктами комунальної власності;</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підвищення ефективності управління бюджетними коштами шляхом</w:t>
      </w:r>
    </w:p>
    <w:p w:rsidR="006D0353" w:rsidRDefault="006D0353" w:rsidP="002A23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застосування дієвих методів економії бюджетних коштів;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забезпечення стабільного функціонування бюджетних установ та виконання заходів, передбачених районними програмами;</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запровадження дієвих заходів з енергозбереження.</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Прогноз Луцького районного бюджету  на 2022-2024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району,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6D0353" w:rsidRPr="006D0353" w:rsidRDefault="006D0353" w:rsidP="006D0353">
      <w:pPr>
        <w:autoSpaceDE w:val="0"/>
        <w:autoSpaceDN w:val="0"/>
        <w:adjustRightInd w:val="0"/>
        <w:ind w:firstLine="851"/>
        <w:jc w:val="both"/>
        <w:rPr>
          <w:sz w:val="28"/>
          <w:szCs w:val="28"/>
        </w:rPr>
      </w:pPr>
    </w:p>
    <w:p w:rsidR="00594F80" w:rsidRDefault="006D0353" w:rsidP="006D0353">
      <w:pPr>
        <w:autoSpaceDE w:val="0"/>
        <w:autoSpaceDN w:val="0"/>
        <w:adjustRightInd w:val="0"/>
        <w:ind w:firstLine="851"/>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ІІ. Основні прогнозні показники економічного </w:t>
      </w:r>
    </w:p>
    <w:p w:rsidR="006D0353" w:rsidRDefault="006D0353" w:rsidP="006D0353">
      <w:pPr>
        <w:autoSpaceDE w:val="0"/>
        <w:autoSpaceDN w:val="0"/>
        <w:adjustRightInd w:val="0"/>
        <w:ind w:firstLine="851"/>
        <w:jc w:val="center"/>
        <w:rPr>
          <w:rFonts w:ascii="Times New Roman CYR" w:hAnsi="Times New Roman CYR" w:cs="Times New Roman CYR"/>
          <w:b/>
          <w:bCs/>
          <w:sz w:val="28"/>
          <w:szCs w:val="28"/>
        </w:rPr>
      </w:pPr>
      <w:r>
        <w:rPr>
          <w:rFonts w:ascii="Times New Roman CYR" w:hAnsi="Times New Roman CYR" w:cs="Times New Roman CYR"/>
          <w:b/>
          <w:bCs/>
          <w:sz w:val="28"/>
          <w:szCs w:val="28"/>
        </w:rPr>
        <w:t>та соціального розвитку</w:t>
      </w:r>
    </w:p>
    <w:p w:rsidR="006D0353" w:rsidRPr="006D0353" w:rsidRDefault="006D0353" w:rsidP="006D0353">
      <w:pPr>
        <w:autoSpaceDE w:val="0"/>
        <w:autoSpaceDN w:val="0"/>
        <w:adjustRightInd w:val="0"/>
        <w:ind w:firstLine="851"/>
        <w:jc w:val="center"/>
        <w:rPr>
          <w:b/>
          <w:bCs/>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color w:val="333333"/>
          <w:sz w:val="28"/>
          <w:szCs w:val="28"/>
        </w:rPr>
      </w:pPr>
      <w:r>
        <w:rPr>
          <w:rFonts w:ascii="Times New Roman CYR" w:hAnsi="Times New Roman CYR" w:cs="Times New Roman CYR"/>
          <w:color w:val="333333"/>
          <w:sz w:val="28"/>
          <w:szCs w:val="28"/>
        </w:rPr>
        <w:t xml:space="preserve">Організаційні засади складання прогнозу районного бюджету і проєкту районного бюджету визначено статтею </w:t>
      </w:r>
      <w:r>
        <w:rPr>
          <w:rFonts w:ascii="Times New Roman CYR" w:hAnsi="Times New Roman CYR" w:cs="Times New Roman CYR"/>
          <w:sz w:val="28"/>
          <w:szCs w:val="28"/>
        </w:rPr>
        <w:t>ст.75</w:t>
      </w:r>
      <w:r>
        <w:rPr>
          <w:rFonts w:ascii="Calibri" w:hAnsi="Calibri" w:cs="Calibri"/>
          <w:sz w:val="28"/>
          <w:szCs w:val="28"/>
        </w:rPr>
        <w:t>'</w:t>
      </w:r>
      <w:r>
        <w:rPr>
          <w:rFonts w:ascii="Times New Roman CYR" w:hAnsi="Times New Roman CYR" w:cs="Times New Roman CYR"/>
          <w:color w:val="333333"/>
          <w:sz w:val="28"/>
          <w:szCs w:val="28"/>
        </w:rPr>
        <w:t xml:space="preserve"> Бюджетного кодексу України.</w:t>
      </w:r>
    </w:p>
    <w:p w:rsidR="006D0353" w:rsidRDefault="006D0353" w:rsidP="006D0353">
      <w:pPr>
        <w:autoSpaceDE w:val="0"/>
        <w:autoSpaceDN w:val="0"/>
        <w:adjustRightInd w:val="0"/>
        <w:ind w:firstLine="851"/>
        <w:jc w:val="both"/>
        <w:rPr>
          <w:rFonts w:ascii="Times New Roman CYR" w:hAnsi="Times New Roman CYR" w:cs="Times New Roman CYR"/>
          <w:color w:val="333333"/>
          <w:sz w:val="28"/>
          <w:szCs w:val="28"/>
        </w:rPr>
      </w:pPr>
      <w:r>
        <w:rPr>
          <w:rFonts w:ascii="Times New Roman CYR" w:hAnsi="Times New Roman CYR" w:cs="Times New Roman CYR"/>
          <w:color w:val="333333"/>
          <w:sz w:val="28"/>
          <w:szCs w:val="28"/>
        </w:rPr>
        <w:t xml:space="preserve">Державна бюджетна політика щодо місцевих бюджетів та міжбюджетних відносин у 2022-2024 роках буде спрямована на розвиток середньострокового бюджетного планування на місцевому рівні. Проходження бюджетного процесу на районному рівні затверджено розпорядженням </w:t>
      </w:r>
      <w:r w:rsidR="002A23FF">
        <w:rPr>
          <w:rFonts w:ascii="Times New Roman CYR" w:hAnsi="Times New Roman CYR" w:cs="Times New Roman CYR"/>
          <w:color w:val="333333"/>
          <w:sz w:val="28"/>
          <w:szCs w:val="28"/>
        </w:rPr>
        <w:t xml:space="preserve">голови </w:t>
      </w:r>
      <w:r>
        <w:rPr>
          <w:rFonts w:ascii="Times New Roman CYR" w:hAnsi="Times New Roman CYR" w:cs="Times New Roman CYR"/>
          <w:color w:val="333333"/>
          <w:sz w:val="28"/>
          <w:szCs w:val="28"/>
        </w:rPr>
        <w:t>Луцької</w:t>
      </w:r>
      <w:r w:rsidR="002A23FF">
        <w:rPr>
          <w:rFonts w:ascii="Times New Roman CYR" w:hAnsi="Times New Roman CYR" w:cs="Times New Roman CYR"/>
          <w:color w:val="333333"/>
          <w:sz w:val="28"/>
          <w:szCs w:val="28"/>
        </w:rPr>
        <w:t xml:space="preserve"> районної державної адміністрації</w:t>
      </w:r>
      <w:r>
        <w:rPr>
          <w:rFonts w:ascii="Times New Roman CYR" w:hAnsi="Times New Roman CYR" w:cs="Times New Roman CYR"/>
          <w:color w:val="333333"/>
          <w:sz w:val="28"/>
          <w:szCs w:val="28"/>
        </w:rPr>
        <w:t xml:space="preserve">  від 16.07.2021</w:t>
      </w:r>
      <w:r>
        <w:rPr>
          <w:color w:val="333333"/>
          <w:sz w:val="28"/>
          <w:szCs w:val="28"/>
          <w:lang w:val="en-US"/>
        </w:rPr>
        <w:t> </w:t>
      </w:r>
      <w:r w:rsidRPr="00212267">
        <w:rPr>
          <w:color w:val="333333"/>
          <w:sz w:val="28"/>
          <w:szCs w:val="28"/>
        </w:rPr>
        <w:t xml:space="preserve"> №131 </w:t>
      </w:r>
      <w:r>
        <w:rPr>
          <w:rFonts w:ascii="Times New Roman CYR" w:hAnsi="Times New Roman CYR" w:cs="Times New Roman CYR"/>
          <w:color w:val="333333"/>
          <w:sz w:val="28"/>
          <w:szCs w:val="28"/>
        </w:rPr>
        <w:t>Планом заходів щодо складання прогнозу районного бюджету</w:t>
      </w:r>
      <w:r>
        <w:rPr>
          <w:color w:val="333333"/>
          <w:sz w:val="28"/>
          <w:szCs w:val="28"/>
          <w:lang w:val="en-US"/>
        </w:rPr>
        <w:t> </w:t>
      </w:r>
      <w:r w:rsidRPr="00212267">
        <w:rPr>
          <w:color w:val="333333"/>
          <w:sz w:val="28"/>
          <w:szCs w:val="28"/>
        </w:rPr>
        <w:t xml:space="preserve"> </w:t>
      </w:r>
      <w:r>
        <w:rPr>
          <w:rFonts w:ascii="Times New Roman CYR" w:hAnsi="Times New Roman CYR" w:cs="Times New Roman CYR"/>
          <w:color w:val="333333"/>
          <w:sz w:val="28"/>
          <w:szCs w:val="28"/>
        </w:rPr>
        <w:t>визначено організаційні засади проходження бюджетного процесу під час складання, розгляду та затвердження прогнозу бюджету.</w:t>
      </w:r>
    </w:p>
    <w:p w:rsidR="006D0353" w:rsidRDefault="006D0353" w:rsidP="006D0353">
      <w:pPr>
        <w:autoSpaceDE w:val="0"/>
        <w:autoSpaceDN w:val="0"/>
        <w:adjustRightInd w:val="0"/>
        <w:ind w:firstLine="851"/>
        <w:jc w:val="both"/>
        <w:rPr>
          <w:rFonts w:ascii="Times New Roman CYR" w:hAnsi="Times New Roman CYR" w:cs="Times New Roman CYR"/>
          <w:color w:val="333333"/>
          <w:sz w:val="28"/>
          <w:szCs w:val="28"/>
          <w:highlight w:val="white"/>
        </w:rPr>
      </w:pPr>
      <w:r>
        <w:rPr>
          <w:rFonts w:ascii="Times New Roman CYR" w:hAnsi="Times New Roman CYR" w:cs="Times New Roman CYR"/>
          <w:color w:val="333333"/>
          <w:sz w:val="28"/>
          <w:szCs w:val="28"/>
          <w:highlight w:val="white"/>
        </w:rPr>
        <w:t>До запровадження середньострокового планування країна послідовно йшла останні 10 років. Тепер Україна приєдналася до прогресивних країн світу, які впроваджують сучасну практику управління державними фінансами, що ґрунтується на відкритості, прогнозованості та ефективності. Запроваджена модель бюджетного планування базується на позитивному досвіді таких країн як Швеція, Франція, Німеччина та Нідерланди. На засіданні Кабінету Міністрів України 31 травня 2021 року Урядом схвалено Бюджетну декларацію на 2022-2024 роки та затверджено постанову Кабінету Міністрів України від 31</w:t>
      </w:r>
      <w:r w:rsidR="002A23FF">
        <w:rPr>
          <w:rFonts w:ascii="Times New Roman CYR" w:hAnsi="Times New Roman CYR" w:cs="Times New Roman CYR"/>
          <w:color w:val="333333"/>
          <w:sz w:val="28"/>
          <w:szCs w:val="28"/>
          <w:highlight w:val="white"/>
        </w:rPr>
        <w:t xml:space="preserve"> травня </w:t>
      </w:r>
      <w:r>
        <w:rPr>
          <w:rFonts w:ascii="Times New Roman CYR" w:hAnsi="Times New Roman CYR" w:cs="Times New Roman CYR"/>
          <w:color w:val="333333"/>
          <w:sz w:val="28"/>
          <w:szCs w:val="28"/>
          <w:highlight w:val="white"/>
        </w:rPr>
        <w:t>2021 №</w:t>
      </w:r>
      <w:r w:rsidR="002A23FF">
        <w:rPr>
          <w:rFonts w:ascii="Times New Roman CYR" w:hAnsi="Times New Roman CYR" w:cs="Times New Roman CYR"/>
          <w:color w:val="333333"/>
          <w:sz w:val="28"/>
          <w:szCs w:val="28"/>
          <w:highlight w:val="white"/>
        </w:rPr>
        <w:t xml:space="preserve"> </w:t>
      </w:r>
      <w:r>
        <w:rPr>
          <w:rFonts w:ascii="Times New Roman CYR" w:hAnsi="Times New Roman CYR" w:cs="Times New Roman CYR"/>
          <w:color w:val="333333"/>
          <w:sz w:val="28"/>
          <w:szCs w:val="28"/>
          <w:highlight w:val="white"/>
        </w:rPr>
        <w:t xml:space="preserve">548 </w:t>
      </w:r>
      <w:r w:rsidRPr="006D0353">
        <w:rPr>
          <w:color w:val="333333"/>
          <w:sz w:val="28"/>
          <w:szCs w:val="28"/>
          <w:highlight w:val="white"/>
        </w:rPr>
        <w:t>«</w:t>
      </w:r>
      <w:r>
        <w:rPr>
          <w:rFonts w:ascii="Times New Roman CYR" w:hAnsi="Times New Roman CYR" w:cs="Times New Roman CYR"/>
          <w:color w:val="333333"/>
          <w:sz w:val="28"/>
          <w:szCs w:val="28"/>
          <w:highlight w:val="white"/>
        </w:rPr>
        <w:t>Про схвалення Бюджетної декларації на 2022-2024 роки</w:t>
      </w:r>
      <w:r w:rsidRPr="006D0353">
        <w:rPr>
          <w:color w:val="333333"/>
          <w:sz w:val="28"/>
          <w:szCs w:val="28"/>
          <w:highlight w:val="white"/>
        </w:rPr>
        <w:t xml:space="preserve">». </w:t>
      </w:r>
      <w:r>
        <w:rPr>
          <w:rFonts w:ascii="Times New Roman CYR" w:hAnsi="Times New Roman CYR" w:cs="Times New Roman CYR"/>
          <w:color w:val="333333"/>
          <w:sz w:val="28"/>
          <w:szCs w:val="28"/>
          <w:highlight w:val="white"/>
        </w:rPr>
        <w:t>Постановою Верховної Ради України від 15 липня 2021 року №</w:t>
      </w:r>
      <w:r w:rsidR="002A23FF">
        <w:rPr>
          <w:rFonts w:ascii="Times New Roman CYR" w:hAnsi="Times New Roman CYR" w:cs="Times New Roman CYR"/>
          <w:color w:val="333333"/>
          <w:sz w:val="28"/>
          <w:szCs w:val="28"/>
          <w:highlight w:val="white"/>
        </w:rPr>
        <w:t xml:space="preserve"> </w:t>
      </w:r>
      <w:r>
        <w:rPr>
          <w:rFonts w:ascii="Times New Roman CYR" w:hAnsi="Times New Roman CYR" w:cs="Times New Roman CYR"/>
          <w:color w:val="333333"/>
          <w:sz w:val="28"/>
          <w:szCs w:val="28"/>
          <w:highlight w:val="white"/>
        </w:rPr>
        <w:t xml:space="preserve">1652-ІХ </w:t>
      </w:r>
      <w:r w:rsidRPr="006D0353">
        <w:rPr>
          <w:color w:val="333333"/>
          <w:sz w:val="28"/>
          <w:szCs w:val="28"/>
          <w:highlight w:val="white"/>
          <w:lang w:val="ru-RU"/>
        </w:rPr>
        <w:t>«</w:t>
      </w:r>
      <w:r>
        <w:rPr>
          <w:rFonts w:ascii="Times New Roman CYR" w:hAnsi="Times New Roman CYR" w:cs="Times New Roman CYR"/>
          <w:color w:val="333333"/>
          <w:sz w:val="28"/>
          <w:szCs w:val="28"/>
          <w:highlight w:val="white"/>
        </w:rPr>
        <w:t>Про бюджетну декларацію на 2022-2024 роки</w:t>
      </w:r>
      <w:r w:rsidRPr="006D0353">
        <w:rPr>
          <w:color w:val="333333"/>
          <w:sz w:val="28"/>
          <w:szCs w:val="28"/>
          <w:highlight w:val="white"/>
          <w:lang w:val="ru-RU"/>
        </w:rPr>
        <w:t xml:space="preserve">» </w:t>
      </w:r>
      <w:r>
        <w:rPr>
          <w:rFonts w:ascii="Times New Roman CYR" w:hAnsi="Times New Roman CYR" w:cs="Times New Roman CYR"/>
          <w:color w:val="333333"/>
          <w:sz w:val="28"/>
          <w:szCs w:val="28"/>
          <w:highlight w:val="white"/>
        </w:rPr>
        <w:t xml:space="preserve">схвалено рекомендації Верховної Ради України щодо бюджетної політики. Цілі державної політики щодо державного та місцевих бюджетів на 2022-2024 роки визначено відповідно до пріоритетів державної політики встановлених Програмою діяльності Кабінету Міністрів України, Цілей </w:t>
      </w:r>
      <w:r>
        <w:rPr>
          <w:rFonts w:ascii="Times New Roman CYR" w:hAnsi="Times New Roman CYR" w:cs="Times New Roman CYR"/>
          <w:color w:val="333333"/>
          <w:sz w:val="28"/>
          <w:szCs w:val="28"/>
          <w:highlight w:val="white"/>
        </w:rPr>
        <w:lastRenderedPageBreak/>
        <w:t>сталого розвитку України на період до 2030 року, Стратегії економічної безпеки України на період до 2025 року, Національної економічної стратегії на період до 2030 року інших прогнозних</w:t>
      </w:r>
      <w:r>
        <w:rPr>
          <w:color w:val="333333"/>
          <w:sz w:val="28"/>
          <w:szCs w:val="28"/>
          <w:highlight w:val="white"/>
          <w:lang w:val="en-US"/>
        </w:rPr>
        <w:t> </w:t>
      </w:r>
      <w:r w:rsidRPr="006D0353">
        <w:rPr>
          <w:color w:val="333333"/>
          <w:sz w:val="28"/>
          <w:szCs w:val="28"/>
          <w:highlight w:val="white"/>
        </w:rPr>
        <w:t xml:space="preserve"> </w:t>
      </w:r>
      <w:r>
        <w:rPr>
          <w:rFonts w:ascii="Times New Roman CYR" w:hAnsi="Times New Roman CYR" w:cs="Times New Roman CYR"/>
          <w:color w:val="333333"/>
          <w:sz w:val="28"/>
          <w:szCs w:val="28"/>
          <w:highlight w:val="white"/>
        </w:rPr>
        <w:t>та програмних документів економічного і соціального розвитку. Для розрахунку показників бюджетної декларації використано основні прогнозні макроекономічні показники економічного та соціального розвитку України та окремі припущення до прогнозних розрахунків на 2022-2024 роки розроблені Мінекономіки. Бюджетна декларація містить цілі державної політики у відповідній сфері діяльності, формування та реалізацію якої забезпечує головний розпорядник коштів бюджету та показники їх досягнення на 2022-2024 роки у межах визначених граничних показників видатків та надання кредитів.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Протягом прогнозного періоду 2022 – 2024 років очікується    продовження політики, спрямованої на усунення перешкод на шляху ефективного розвитку економіки, забезпечення макроекономічної стабільності та зниження фінансових ризиків, створення передумов для змін технологічності виробництва, в тому числі шляхом стимулювання просування товарів на зовнішні конкурентні ринки та покращення інвестиційної привабливості України.</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Відповідно до статті 6 Закону України </w:t>
      </w:r>
      <w:r w:rsidRPr="006D0353">
        <w:rPr>
          <w:sz w:val="28"/>
          <w:szCs w:val="28"/>
          <w:lang w:val="ru-RU"/>
        </w:rPr>
        <w:t>«</w:t>
      </w:r>
      <w:r>
        <w:rPr>
          <w:rFonts w:ascii="Times New Roman CYR" w:hAnsi="Times New Roman CYR" w:cs="Times New Roman CYR"/>
          <w:sz w:val="28"/>
          <w:szCs w:val="28"/>
        </w:rPr>
        <w:t>Про державні соціальні стандарти та державні соціальні гарантії</w:t>
      </w:r>
      <w:r w:rsidRPr="006D0353">
        <w:rPr>
          <w:sz w:val="28"/>
          <w:szCs w:val="28"/>
          <w:lang w:val="ru-RU"/>
        </w:rPr>
        <w:t xml:space="preserve">» </w:t>
      </w:r>
      <w:r>
        <w:rPr>
          <w:rFonts w:ascii="Times New Roman CYR" w:hAnsi="Times New Roman CYR" w:cs="Times New Roman CYR"/>
          <w:sz w:val="28"/>
          <w:szCs w:val="28"/>
        </w:rPr>
        <w:t>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соціально-культурного обслуговування, охорони здоров’я та освіти. Прогнозний прожитковий мінімум на 2022 – 2024 роки, врахований у показниках Бюджетної декларації, становить:</w:t>
      </w:r>
    </w:p>
    <w:p w:rsidR="006D0353" w:rsidRPr="006D0353" w:rsidRDefault="006D0353" w:rsidP="006D0353">
      <w:pPr>
        <w:autoSpaceDE w:val="0"/>
        <w:autoSpaceDN w:val="0"/>
        <w:adjustRightInd w:val="0"/>
        <w:jc w:val="both"/>
        <w:rPr>
          <w:sz w:val="28"/>
          <w:szCs w:val="28"/>
          <w:lang w:val="ru-RU"/>
        </w:rPr>
      </w:pPr>
    </w:p>
    <w:tbl>
      <w:tblPr>
        <w:tblW w:w="0" w:type="auto"/>
        <w:tblInd w:w="572" w:type="dxa"/>
        <w:tblLayout w:type="fixed"/>
        <w:tblCellMar>
          <w:left w:w="0" w:type="dxa"/>
          <w:right w:w="0" w:type="dxa"/>
        </w:tblCellMar>
        <w:tblLook w:val="0000" w:firstRow="0" w:lastRow="0" w:firstColumn="0" w:lastColumn="0" w:noHBand="0" w:noVBand="0"/>
      </w:tblPr>
      <w:tblGrid>
        <w:gridCol w:w="1867"/>
        <w:gridCol w:w="779"/>
        <w:gridCol w:w="803"/>
        <w:gridCol w:w="819"/>
        <w:gridCol w:w="784"/>
        <w:gridCol w:w="803"/>
        <w:gridCol w:w="819"/>
        <w:gridCol w:w="786"/>
        <w:gridCol w:w="802"/>
        <w:gridCol w:w="819"/>
      </w:tblGrid>
      <w:tr w:rsidR="006D0353">
        <w:trPr>
          <w:trHeight w:val="1"/>
        </w:trPr>
        <w:tc>
          <w:tcPr>
            <w:tcW w:w="1867"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6D0353" w:rsidRPr="006D0353" w:rsidRDefault="006D0353">
            <w:pPr>
              <w:autoSpaceDE w:val="0"/>
              <w:autoSpaceDN w:val="0"/>
              <w:adjustRightInd w:val="0"/>
              <w:rPr>
                <w:rFonts w:ascii="Calibri" w:hAnsi="Calibri" w:cs="Calibri"/>
                <w:sz w:val="22"/>
                <w:szCs w:val="22"/>
                <w:lang w:val="ru-RU"/>
              </w:rPr>
            </w:pPr>
          </w:p>
        </w:tc>
        <w:tc>
          <w:tcPr>
            <w:tcW w:w="2401"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
              <w:rPr>
                <w:rFonts w:ascii="Calibri" w:hAnsi="Calibri" w:cs="Calibri"/>
                <w:sz w:val="22"/>
                <w:szCs w:val="22"/>
                <w:lang w:val="en"/>
              </w:rPr>
            </w:pPr>
            <w:r>
              <w:rPr>
                <w:b/>
                <w:bCs/>
                <w:sz w:val="25"/>
                <w:szCs w:val="25"/>
                <w:lang w:val="en"/>
              </w:rPr>
              <w:t>2022</w:t>
            </w:r>
            <w:r>
              <w:rPr>
                <w:b/>
                <w:bCs/>
                <w:spacing w:val="-10"/>
                <w:sz w:val="25"/>
                <w:szCs w:val="25"/>
                <w:lang w:val="en"/>
              </w:rPr>
              <w:t xml:space="preserve"> </w:t>
            </w:r>
            <w:r>
              <w:rPr>
                <w:rFonts w:ascii="Times New Roman CYR" w:hAnsi="Times New Roman CYR" w:cs="Times New Roman CYR"/>
                <w:b/>
                <w:bCs/>
                <w:sz w:val="25"/>
                <w:szCs w:val="25"/>
              </w:rPr>
              <w:t>рік</w:t>
            </w:r>
          </w:p>
        </w:tc>
        <w:tc>
          <w:tcPr>
            <w:tcW w:w="2406"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
              <w:rPr>
                <w:rFonts w:ascii="Calibri" w:hAnsi="Calibri" w:cs="Calibri"/>
                <w:sz w:val="22"/>
                <w:szCs w:val="22"/>
                <w:lang w:val="en"/>
              </w:rPr>
            </w:pPr>
            <w:r>
              <w:rPr>
                <w:b/>
                <w:bCs/>
                <w:sz w:val="25"/>
                <w:szCs w:val="25"/>
                <w:lang w:val="en"/>
              </w:rPr>
              <w:t>2023</w:t>
            </w:r>
            <w:r>
              <w:rPr>
                <w:b/>
                <w:bCs/>
                <w:spacing w:val="-10"/>
                <w:sz w:val="25"/>
                <w:szCs w:val="25"/>
                <w:lang w:val="en"/>
              </w:rPr>
              <w:t xml:space="preserve"> </w:t>
            </w:r>
            <w:r>
              <w:rPr>
                <w:rFonts w:ascii="Times New Roman CYR" w:hAnsi="Times New Roman CYR" w:cs="Times New Roman CYR"/>
                <w:b/>
                <w:bCs/>
                <w:sz w:val="25"/>
                <w:szCs w:val="25"/>
              </w:rPr>
              <w:t>рік</w:t>
            </w:r>
          </w:p>
        </w:tc>
        <w:tc>
          <w:tcPr>
            <w:tcW w:w="2407"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
              <w:rPr>
                <w:rFonts w:ascii="Calibri" w:hAnsi="Calibri" w:cs="Calibri"/>
                <w:sz w:val="22"/>
                <w:szCs w:val="22"/>
                <w:lang w:val="en"/>
              </w:rPr>
            </w:pPr>
            <w:r>
              <w:rPr>
                <w:b/>
                <w:bCs/>
                <w:sz w:val="25"/>
                <w:szCs w:val="25"/>
                <w:lang w:val="en"/>
              </w:rPr>
              <w:t>2024</w:t>
            </w:r>
            <w:r>
              <w:rPr>
                <w:b/>
                <w:bCs/>
                <w:spacing w:val="-10"/>
                <w:sz w:val="25"/>
                <w:szCs w:val="25"/>
                <w:lang w:val="en"/>
              </w:rPr>
              <w:t xml:space="preserve"> </w:t>
            </w:r>
            <w:r>
              <w:rPr>
                <w:rFonts w:ascii="Times New Roman CYR" w:hAnsi="Times New Roman CYR" w:cs="Times New Roman CYR"/>
                <w:b/>
                <w:bCs/>
                <w:sz w:val="25"/>
                <w:szCs w:val="25"/>
              </w:rPr>
              <w:t>рік</w:t>
            </w:r>
          </w:p>
        </w:tc>
      </w:tr>
      <w:tr w:rsidR="006D0353">
        <w:trPr>
          <w:trHeight w:val="1"/>
        </w:trPr>
        <w:tc>
          <w:tcPr>
            <w:tcW w:w="1867" w:type="dxa"/>
            <w:vMerge/>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after="200" w:line="276" w:lineRule="auto"/>
              <w:rPr>
                <w:rFonts w:ascii="Calibri" w:hAnsi="Calibri" w:cs="Calibri"/>
                <w:sz w:val="22"/>
                <w:szCs w:val="22"/>
                <w:lang w:val="en"/>
              </w:rPr>
            </w:pPr>
          </w:p>
        </w:tc>
        <w:tc>
          <w:tcPr>
            <w:tcW w:w="77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199"/>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7"/>
              </w:rPr>
              <w:t>січня</w:t>
            </w:r>
          </w:p>
        </w:tc>
        <w:tc>
          <w:tcPr>
            <w:tcW w:w="803"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259"/>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липня</w:t>
            </w:r>
          </w:p>
        </w:tc>
        <w:tc>
          <w:tcPr>
            <w:tcW w:w="81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302"/>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грудня</w:t>
            </w:r>
          </w:p>
        </w:tc>
        <w:tc>
          <w:tcPr>
            <w:tcW w:w="784"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218"/>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січня</w:t>
            </w:r>
          </w:p>
        </w:tc>
        <w:tc>
          <w:tcPr>
            <w:tcW w:w="803"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259"/>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липня</w:t>
            </w:r>
          </w:p>
        </w:tc>
        <w:tc>
          <w:tcPr>
            <w:tcW w:w="81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302"/>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грудня</w:t>
            </w:r>
          </w:p>
        </w:tc>
        <w:tc>
          <w:tcPr>
            <w:tcW w:w="786"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218"/>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січня</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259"/>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липня</w:t>
            </w:r>
          </w:p>
        </w:tc>
        <w:tc>
          <w:tcPr>
            <w:tcW w:w="81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ind w:firstLine="302"/>
              <w:rPr>
                <w:rFonts w:ascii="Calibri" w:hAnsi="Calibri" w:cs="Calibri"/>
                <w:sz w:val="22"/>
                <w:szCs w:val="22"/>
                <w:lang w:val="en"/>
              </w:rPr>
            </w:pPr>
            <w:r>
              <w:rPr>
                <w:rFonts w:ascii="Times New Roman CYR" w:hAnsi="Times New Roman CYR" w:cs="Times New Roman CYR"/>
              </w:rPr>
              <w:t xml:space="preserve">з </w:t>
            </w:r>
            <w:r>
              <w:rPr>
                <w:rFonts w:ascii="Times New Roman CYR" w:hAnsi="Times New Roman CYR" w:cs="Times New Roman CYR"/>
                <w:spacing w:val="-1"/>
              </w:rPr>
              <w:t>грудня</w:t>
            </w:r>
          </w:p>
        </w:tc>
      </w:tr>
      <w:tr w:rsidR="006D0353">
        <w:trPr>
          <w:trHeight w:val="1"/>
        </w:trPr>
        <w:tc>
          <w:tcPr>
            <w:tcW w:w="1867" w:type="dxa"/>
            <w:tcBorders>
              <w:top w:val="single" w:sz="3" w:space="0" w:color="000000"/>
              <w:left w:val="single" w:sz="3" w:space="0" w:color="000000"/>
              <w:bottom w:val="single" w:sz="8" w:space="0" w:color="000000"/>
              <w:right w:val="single" w:sz="3" w:space="0" w:color="000000"/>
            </w:tcBorders>
            <w:shd w:val="clear" w:color="000000" w:fill="FFFFFF"/>
          </w:tcPr>
          <w:p w:rsidR="006D0353" w:rsidRPr="006D0353" w:rsidRDefault="006D0353">
            <w:pPr>
              <w:autoSpaceDE w:val="0"/>
              <w:autoSpaceDN w:val="0"/>
              <w:adjustRightInd w:val="0"/>
              <w:jc w:val="both"/>
              <w:rPr>
                <w:rFonts w:ascii="Calibri" w:hAnsi="Calibri" w:cs="Calibri"/>
                <w:sz w:val="22"/>
                <w:szCs w:val="22"/>
                <w:lang w:val="ru-RU"/>
              </w:rPr>
            </w:pPr>
            <w:r>
              <w:rPr>
                <w:rFonts w:ascii="Times New Roman CYR" w:hAnsi="Times New Roman CYR" w:cs="Times New Roman CYR"/>
                <w:spacing w:val="-1"/>
              </w:rPr>
              <w:t>Прожитковий</w:t>
            </w:r>
            <w:r>
              <w:rPr>
                <w:rFonts w:ascii="Times New Roman CYR" w:hAnsi="Times New Roman CYR" w:cs="Times New Roman CYR"/>
                <w:spacing w:val="29"/>
              </w:rPr>
              <w:t xml:space="preserve"> </w:t>
            </w:r>
            <w:r>
              <w:rPr>
                <w:rFonts w:ascii="Times New Roman CYR" w:hAnsi="Times New Roman CYR" w:cs="Times New Roman CYR"/>
                <w:spacing w:val="-1"/>
              </w:rPr>
              <w:t>мінімум,</w:t>
            </w:r>
            <w:r>
              <w:rPr>
                <w:rFonts w:ascii="Times New Roman CYR" w:hAnsi="Times New Roman CYR" w:cs="Times New Roman CYR"/>
              </w:rPr>
              <w:t xml:space="preserve"> грн:</w:t>
            </w:r>
            <w:r>
              <w:rPr>
                <w:rFonts w:ascii="Times New Roman CYR" w:hAnsi="Times New Roman CYR" w:cs="Times New Roman CYR"/>
                <w:spacing w:val="23"/>
              </w:rPr>
              <w:t xml:space="preserve"> </w:t>
            </w:r>
            <w:r>
              <w:rPr>
                <w:rFonts w:ascii="Times New Roman CYR" w:hAnsi="Times New Roman CYR" w:cs="Times New Roman CYR"/>
              </w:rPr>
              <w:t>на</w:t>
            </w:r>
            <w:r>
              <w:rPr>
                <w:rFonts w:ascii="Times New Roman CYR" w:hAnsi="Times New Roman CYR" w:cs="Times New Roman CYR"/>
                <w:spacing w:val="-1"/>
              </w:rPr>
              <w:t xml:space="preserve"> </w:t>
            </w:r>
            <w:r>
              <w:rPr>
                <w:rFonts w:ascii="Times New Roman CYR" w:hAnsi="Times New Roman CYR" w:cs="Times New Roman CYR"/>
              </w:rPr>
              <w:t>одну</w:t>
            </w:r>
            <w:r>
              <w:rPr>
                <w:rFonts w:ascii="Times New Roman CYR" w:hAnsi="Times New Roman CYR" w:cs="Times New Roman CYR"/>
                <w:spacing w:val="-8"/>
              </w:rPr>
              <w:t xml:space="preserve"> </w:t>
            </w:r>
            <w:r>
              <w:rPr>
                <w:rFonts w:ascii="Times New Roman CYR" w:hAnsi="Times New Roman CYR" w:cs="Times New Roman CYR"/>
                <w:spacing w:val="1"/>
              </w:rPr>
              <w:t>особу</w:t>
            </w:r>
          </w:p>
        </w:tc>
        <w:tc>
          <w:tcPr>
            <w:tcW w:w="779" w:type="dxa"/>
            <w:tcBorders>
              <w:top w:val="single" w:sz="3" w:space="0" w:color="000000"/>
              <w:left w:val="single" w:sz="3" w:space="0" w:color="000000"/>
              <w:bottom w:val="single" w:sz="8" w:space="0" w:color="000000"/>
              <w:right w:val="single" w:sz="3" w:space="0" w:color="000000"/>
            </w:tcBorders>
            <w:shd w:val="clear" w:color="000000" w:fill="FFFFFF"/>
          </w:tcPr>
          <w:p w:rsidR="006D0353" w:rsidRPr="006D0353" w:rsidRDefault="006D0353">
            <w:pPr>
              <w:autoSpaceDE w:val="0"/>
              <w:autoSpaceDN w:val="0"/>
              <w:adjustRightInd w:val="0"/>
              <w:spacing w:before="5"/>
              <w:rPr>
                <w:sz w:val="23"/>
                <w:szCs w:val="23"/>
                <w:lang w:val="ru-RU"/>
              </w:rPr>
            </w:pPr>
          </w:p>
          <w:p w:rsidR="006D0353" w:rsidRDefault="006D0353">
            <w:pPr>
              <w:autoSpaceDE w:val="0"/>
              <w:autoSpaceDN w:val="0"/>
              <w:adjustRightInd w:val="0"/>
              <w:rPr>
                <w:rFonts w:ascii="Calibri" w:hAnsi="Calibri" w:cs="Calibri"/>
                <w:sz w:val="22"/>
                <w:szCs w:val="22"/>
                <w:lang w:val="en"/>
              </w:rPr>
            </w:pPr>
            <w:r>
              <w:rPr>
                <w:lang w:val="en"/>
              </w:rPr>
              <w:t>2 393</w:t>
            </w:r>
          </w:p>
        </w:tc>
        <w:tc>
          <w:tcPr>
            <w:tcW w:w="803"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2 508</w:t>
            </w:r>
          </w:p>
        </w:tc>
        <w:tc>
          <w:tcPr>
            <w:tcW w:w="819"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2 589</w:t>
            </w:r>
          </w:p>
        </w:tc>
        <w:tc>
          <w:tcPr>
            <w:tcW w:w="784"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2 589</w:t>
            </w:r>
          </w:p>
        </w:tc>
        <w:tc>
          <w:tcPr>
            <w:tcW w:w="803"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2 713</w:t>
            </w:r>
          </w:p>
        </w:tc>
        <w:tc>
          <w:tcPr>
            <w:tcW w:w="819"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2 778</w:t>
            </w:r>
          </w:p>
        </w:tc>
        <w:tc>
          <w:tcPr>
            <w:tcW w:w="786"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2 778</w:t>
            </w:r>
          </w:p>
        </w:tc>
        <w:tc>
          <w:tcPr>
            <w:tcW w:w="802"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2 911</w:t>
            </w:r>
          </w:p>
        </w:tc>
        <w:tc>
          <w:tcPr>
            <w:tcW w:w="819" w:type="dxa"/>
            <w:tcBorders>
              <w:top w:val="single" w:sz="3" w:space="0" w:color="000000"/>
              <w:left w:val="single" w:sz="3" w:space="0" w:color="000000"/>
              <w:bottom w:val="single" w:sz="8" w:space="0" w:color="000000"/>
              <w:right w:val="single" w:sz="3" w:space="0" w:color="000000"/>
            </w:tcBorders>
            <w:shd w:val="clear" w:color="000000" w:fill="FFFFFF"/>
          </w:tcPr>
          <w:p w:rsidR="006D0353" w:rsidRDefault="006D0353">
            <w:pPr>
              <w:autoSpaceDE w:val="0"/>
              <w:autoSpaceDN w:val="0"/>
              <w:adjustRightInd w:val="0"/>
              <w:spacing w:before="5"/>
              <w:rPr>
                <w:sz w:val="23"/>
                <w:szCs w:val="23"/>
                <w:lang w:val="en"/>
              </w:rPr>
            </w:pPr>
          </w:p>
          <w:p w:rsidR="006D0353" w:rsidRDefault="006D0353">
            <w:pPr>
              <w:autoSpaceDE w:val="0"/>
              <w:autoSpaceDN w:val="0"/>
              <w:adjustRightInd w:val="0"/>
              <w:rPr>
                <w:rFonts w:ascii="Calibri" w:hAnsi="Calibri" w:cs="Calibri"/>
                <w:sz w:val="22"/>
                <w:szCs w:val="22"/>
                <w:lang w:val="en"/>
              </w:rPr>
            </w:pPr>
            <w:r>
              <w:rPr>
                <w:lang w:val="en"/>
              </w:rPr>
              <w:t>2 972</w:t>
            </w:r>
          </w:p>
        </w:tc>
      </w:tr>
    </w:tbl>
    <w:p w:rsidR="006D0353" w:rsidRDefault="006D0353" w:rsidP="006D0353">
      <w:pPr>
        <w:autoSpaceDE w:val="0"/>
        <w:autoSpaceDN w:val="0"/>
        <w:adjustRightInd w:val="0"/>
        <w:ind w:firstLine="851"/>
        <w:rPr>
          <w:b/>
          <w:bCs/>
          <w:sz w:val="28"/>
          <w:szCs w:val="28"/>
          <w:lang w:val="en"/>
        </w:rPr>
      </w:pPr>
    </w:p>
    <w:p w:rsidR="006D0353" w:rsidRDefault="006D0353" w:rsidP="006D0353">
      <w:pPr>
        <w:autoSpaceDE w:val="0"/>
        <w:autoSpaceDN w:val="0"/>
        <w:adjustRightInd w:val="0"/>
        <w:ind w:firstLine="851"/>
        <w:rPr>
          <w:rFonts w:ascii="Times New Roman CYR" w:hAnsi="Times New Roman CYR" w:cs="Times New Roman CYR"/>
          <w:sz w:val="28"/>
          <w:szCs w:val="28"/>
        </w:rPr>
      </w:pPr>
      <w:r>
        <w:rPr>
          <w:rFonts w:ascii="Times New Roman CYR" w:hAnsi="Times New Roman CYR" w:cs="Times New Roman CYR"/>
          <w:sz w:val="28"/>
          <w:szCs w:val="28"/>
        </w:rPr>
        <w:t>Під час формування видаткової частини на 2022 – 2024 роки буде враховано такі показники:</w:t>
      </w:r>
    </w:p>
    <w:p w:rsidR="006D0353" w:rsidRPr="006D0353" w:rsidRDefault="006D0353" w:rsidP="006D0353">
      <w:pPr>
        <w:autoSpaceDE w:val="0"/>
        <w:autoSpaceDN w:val="0"/>
        <w:adjustRightInd w:val="0"/>
        <w:rPr>
          <w:sz w:val="28"/>
          <w:szCs w:val="28"/>
          <w:lang w:val="ru-RU"/>
        </w:rPr>
      </w:pPr>
    </w:p>
    <w:tbl>
      <w:tblPr>
        <w:tblW w:w="0" w:type="auto"/>
        <w:tblInd w:w="572" w:type="dxa"/>
        <w:tblLayout w:type="fixed"/>
        <w:tblCellMar>
          <w:left w:w="0" w:type="dxa"/>
          <w:right w:w="0" w:type="dxa"/>
        </w:tblCellMar>
        <w:tblLook w:val="0000" w:firstRow="0" w:lastRow="0" w:firstColumn="0" w:lastColumn="0" w:noHBand="0" w:noVBand="0"/>
      </w:tblPr>
      <w:tblGrid>
        <w:gridCol w:w="1147"/>
        <w:gridCol w:w="922"/>
        <w:gridCol w:w="1289"/>
        <w:gridCol w:w="2141"/>
        <w:gridCol w:w="1440"/>
        <w:gridCol w:w="2142"/>
      </w:tblGrid>
      <w:tr w:rsidR="006D0353">
        <w:trPr>
          <w:trHeight w:val="1"/>
        </w:trPr>
        <w:tc>
          <w:tcPr>
            <w:tcW w:w="2069" w:type="dxa"/>
            <w:gridSpan w:val="2"/>
            <w:vMerge w:val="restart"/>
            <w:tcBorders>
              <w:top w:val="single" w:sz="3" w:space="0" w:color="000000"/>
              <w:left w:val="single" w:sz="3" w:space="0" w:color="000000"/>
              <w:bottom w:val="single" w:sz="3" w:space="0" w:color="000000"/>
              <w:right w:val="single" w:sz="3" w:space="0" w:color="000000"/>
            </w:tcBorders>
            <w:shd w:val="clear" w:color="000000" w:fill="FFFFFF"/>
          </w:tcPr>
          <w:p w:rsidR="006D0353" w:rsidRPr="006D0353" w:rsidRDefault="006D0353">
            <w:pPr>
              <w:autoSpaceDE w:val="0"/>
              <w:autoSpaceDN w:val="0"/>
              <w:adjustRightInd w:val="0"/>
              <w:rPr>
                <w:rFonts w:ascii="Calibri" w:hAnsi="Calibri" w:cs="Calibri"/>
                <w:sz w:val="22"/>
                <w:szCs w:val="22"/>
                <w:lang w:val="ru-RU"/>
              </w:rPr>
            </w:pPr>
          </w:p>
        </w:tc>
        <w:tc>
          <w:tcPr>
            <w:tcW w:w="343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D0353" w:rsidRPr="006D0353" w:rsidRDefault="006D0353">
            <w:pPr>
              <w:autoSpaceDE w:val="0"/>
              <w:autoSpaceDN w:val="0"/>
              <w:adjustRightInd w:val="0"/>
              <w:spacing w:before="5"/>
              <w:rPr>
                <w:sz w:val="23"/>
                <w:szCs w:val="23"/>
                <w:lang w:val="ru-RU"/>
              </w:rPr>
            </w:pPr>
          </w:p>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spacing w:val="-1"/>
              </w:rPr>
              <w:t>Мінімальна заробітна плата</w:t>
            </w:r>
          </w:p>
        </w:tc>
        <w:tc>
          <w:tcPr>
            <w:tcW w:w="358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spacing w:val="-1"/>
              </w:rPr>
              <w:t>Посадовий</w:t>
            </w:r>
            <w:r>
              <w:rPr>
                <w:rFonts w:ascii="Times New Roman CYR" w:hAnsi="Times New Roman CYR" w:cs="Times New Roman CYR"/>
              </w:rPr>
              <w:t xml:space="preserve"> </w:t>
            </w:r>
            <w:r>
              <w:rPr>
                <w:rFonts w:ascii="Times New Roman CYR" w:hAnsi="Times New Roman CYR" w:cs="Times New Roman CYR"/>
                <w:spacing w:val="-1"/>
              </w:rPr>
              <w:t>оклад</w:t>
            </w:r>
            <w:r>
              <w:rPr>
                <w:rFonts w:ascii="Times New Roman CYR" w:hAnsi="Times New Roman CYR" w:cs="Times New Roman CYR"/>
                <w:spacing w:val="1"/>
              </w:rPr>
              <w:t xml:space="preserve"> </w:t>
            </w:r>
            <w:r>
              <w:rPr>
                <w:rFonts w:ascii="Times New Roman CYR" w:hAnsi="Times New Roman CYR" w:cs="Times New Roman CYR"/>
                <w:spacing w:val="-1"/>
              </w:rPr>
              <w:t>працівника</w:t>
            </w:r>
            <w:r>
              <w:rPr>
                <w:rFonts w:ascii="Times New Roman CYR" w:hAnsi="Times New Roman CYR" w:cs="Times New Roman CYR"/>
                <w:spacing w:val="1"/>
              </w:rPr>
              <w:t xml:space="preserve"> </w:t>
            </w:r>
            <w:r>
              <w:rPr>
                <w:rFonts w:ascii="Times New Roman CYR" w:hAnsi="Times New Roman CYR" w:cs="Times New Roman CYR"/>
              </w:rPr>
              <w:t>І</w:t>
            </w:r>
            <w:r>
              <w:rPr>
                <w:rFonts w:ascii="Times New Roman CYR" w:hAnsi="Times New Roman CYR" w:cs="Times New Roman CYR"/>
                <w:spacing w:val="35"/>
              </w:rPr>
              <w:t xml:space="preserve"> </w:t>
            </w:r>
            <w:r>
              <w:rPr>
                <w:rFonts w:ascii="Times New Roman CYR" w:hAnsi="Times New Roman CYR" w:cs="Times New Roman CYR"/>
              </w:rPr>
              <w:t xml:space="preserve">тарифного </w:t>
            </w:r>
            <w:r>
              <w:rPr>
                <w:rFonts w:ascii="Times New Roman CYR" w:hAnsi="Times New Roman CYR" w:cs="Times New Roman CYR"/>
                <w:spacing w:val="-1"/>
              </w:rPr>
              <w:t>розряду</w:t>
            </w:r>
            <w:r>
              <w:rPr>
                <w:rFonts w:ascii="Times New Roman CYR" w:hAnsi="Times New Roman CYR" w:cs="Times New Roman CYR"/>
                <w:spacing w:val="-8"/>
              </w:rPr>
              <w:t xml:space="preserve"> </w:t>
            </w:r>
            <w:r>
              <w:rPr>
                <w:rFonts w:ascii="Times New Roman CYR" w:hAnsi="Times New Roman CYR" w:cs="Times New Roman CYR"/>
              </w:rPr>
              <w:t>Єдиної</w:t>
            </w:r>
            <w:r>
              <w:rPr>
                <w:rFonts w:ascii="Times New Roman CYR" w:hAnsi="Times New Roman CYR" w:cs="Times New Roman CYR"/>
                <w:spacing w:val="30"/>
              </w:rPr>
              <w:t xml:space="preserve"> </w:t>
            </w:r>
            <w:r>
              <w:rPr>
                <w:rFonts w:ascii="Times New Roman CYR" w:hAnsi="Times New Roman CYR" w:cs="Times New Roman CYR"/>
              </w:rPr>
              <w:t xml:space="preserve">тарифної </w:t>
            </w:r>
            <w:r>
              <w:rPr>
                <w:rFonts w:ascii="Times New Roman CYR" w:hAnsi="Times New Roman CYR" w:cs="Times New Roman CYR"/>
                <w:spacing w:val="-1"/>
              </w:rPr>
              <w:t>сітки</w:t>
            </w:r>
          </w:p>
        </w:tc>
      </w:tr>
      <w:tr w:rsidR="006D0353">
        <w:trPr>
          <w:trHeight w:val="1"/>
        </w:trPr>
        <w:tc>
          <w:tcPr>
            <w:tcW w:w="2069" w:type="dxa"/>
            <w:gridSpan w:val="2"/>
            <w:vMerge/>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after="200" w:line="276" w:lineRule="auto"/>
              <w:rPr>
                <w:rFonts w:ascii="Calibri" w:hAnsi="Calibri" w:cs="Calibri"/>
                <w:sz w:val="22"/>
                <w:szCs w:val="22"/>
                <w:lang w:val="en"/>
              </w:rPr>
            </w:pPr>
          </w:p>
        </w:tc>
        <w:tc>
          <w:tcPr>
            <w:tcW w:w="128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line="269" w:lineRule="atLeast"/>
              <w:jc w:val="center"/>
              <w:rPr>
                <w:rFonts w:ascii="Calibri" w:hAnsi="Calibri" w:cs="Calibri"/>
                <w:sz w:val="22"/>
                <w:szCs w:val="22"/>
                <w:lang w:val="en"/>
              </w:rPr>
            </w:pPr>
            <w:r>
              <w:rPr>
                <w:rFonts w:ascii="Times New Roman CYR" w:hAnsi="Times New Roman CYR" w:cs="Times New Roman CYR"/>
              </w:rPr>
              <w:t>грн</w:t>
            </w:r>
          </w:p>
        </w:tc>
        <w:tc>
          <w:tcPr>
            <w:tcW w:w="2141"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line="269" w:lineRule="atLeast"/>
              <w:rPr>
                <w:rFonts w:ascii="Calibri" w:hAnsi="Calibri" w:cs="Calibri"/>
                <w:sz w:val="22"/>
                <w:szCs w:val="22"/>
                <w:lang w:val="en"/>
              </w:rPr>
            </w:pPr>
            <w:r>
              <w:rPr>
                <w:rFonts w:ascii="Times New Roman CYR" w:hAnsi="Times New Roman CYR" w:cs="Times New Roman CYR"/>
                <w:spacing w:val="-1"/>
              </w:rPr>
              <w:t>темпи</w:t>
            </w:r>
            <w:r>
              <w:rPr>
                <w:rFonts w:ascii="Times New Roman CYR" w:hAnsi="Times New Roman CYR" w:cs="Times New Roman CYR"/>
              </w:rPr>
              <w:t xml:space="preserve"> </w:t>
            </w:r>
            <w:r>
              <w:rPr>
                <w:rFonts w:ascii="Times New Roman CYR" w:hAnsi="Times New Roman CYR" w:cs="Times New Roman CYR"/>
                <w:spacing w:val="-1"/>
              </w:rPr>
              <w:t>приросту,</w:t>
            </w:r>
            <w:r>
              <w:rPr>
                <w:rFonts w:ascii="Times New Roman CYR" w:hAnsi="Times New Roman CYR" w:cs="Times New Roman CYR"/>
              </w:rPr>
              <w:t xml:space="preserve"> %</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line="269" w:lineRule="atLeast"/>
              <w:jc w:val="center"/>
              <w:rPr>
                <w:rFonts w:ascii="Calibri" w:hAnsi="Calibri" w:cs="Calibri"/>
                <w:sz w:val="22"/>
                <w:szCs w:val="22"/>
                <w:lang w:val="en"/>
              </w:rPr>
            </w:pPr>
            <w:r>
              <w:rPr>
                <w:rFonts w:ascii="Times New Roman CYR" w:hAnsi="Times New Roman CYR" w:cs="Times New Roman CYR"/>
              </w:rPr>
              <w:t>грн</w:t>
            </w:r>
          </w:p>
        </w:tc>
        <w:tc>
          <w:tcPr>
            <w:tcW w:w="214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line="269" w:lineRule="atLeast"/>
              <w:rPr>
                <w:rFonts w:ascii="Calibri" w:hAnsi="Calibri" w:cs="Calibri"/>
                <w:sz w:val="22"/>
                <w:szCs w:val="22"/>
                <w:lang w:val="en"/>
              </w:rPr>
            </w:pPr>
            <w:r>
              <w:rPr>
                <w:rFonts w:ascii="Times New Roman CYR" w:hAnsi="Times New Roman CYR" w:cs="Times New Roman CYR"/>
                <w:spacing w:val="-1"/>
              </w:rPr>
              <w:t>темпи</w:t>
            </w:r>
            <w:r>
              <w:rPr>
                <w:rFonts w:ascii="Times New Roman CYR" w:hAnsi="Times New Roman CYR" w:cs="Times New Roman CYR"/>
              </w:rPr>
              <w:t xml:space="preserve"> </w:t>
            </w:r>
            <w:r>
              <w:rPr>
                <w:rFonts w:ascii="Times New Roman CYR" w:hAnsi="Times New Roman CYR" w:cs="Times New Roman CYR"/>
                <w:spacing w:val="-1"/>
              </w:rPr>
              <w:t>приросту,</w:t>
            </w:r>
            <w:r>
              <w:rPr>
                <w:rFonts w:ascii="Times New Roman CYR" w:hAnsi="Times New Roman CYR" w:cs="Times New Roman CYR"/>
              </w:rPr>
              <w:t xml:space="preserve"> %</w:t>
            </w:r>
          </w:p>
        </w:tc>
      </w:tr>
      <w:tr w:rsidR="006D0353">
        <w:trPr>
          <w:trHeight w:val="1"/>
        </w:trPr>
        <w:tc>
          <w:tcPr>
            <w:tcW w:w="1147" w:type="dxa"/>
            <w:tcBorders>
              <w:top w:val="single" w:sz="3" w:space="0" w:color="000000"/>
              <w:left w:val="single" w:sz="3" w:space="0" w:color="000000"/>
              <w:bottom w:val="single" w:sz="3" w:space="0" w:color="000000"/>
              <w:right w:val="nil"/>
            </w:tcBorders>
            <w:shd w:val="clear" w:color="000000" w:fill="FFFFFF"/>
          </w:tcPr>
          <w:p w:rsidR="006D0353" w:rsidRDefault="006D0353">
            <w:pPr>
              <w:autoSpaceDE w:val="0"/>
              <w:autoSpaceDN w:val="0"/>
              <w:adjustRightInd w:val="0"/>
              <w:spacing w:line="281" w:lineRule="atLeast"/>
              <w:rPr>
                <w:rFonts w:ascii="Times New Roman CYR" w:hAnsi="Times New Roman CYR" w:cs="Times New Roman CYR"/>
                <w:sz w:val="25"/>
                <w:szCs w:val="25"/>
              </w:rPr>
            </w:pPr>
            <w:r>
              <w:rPr>
                <w:rFonts w:ascii="Times New Roman CYR" w:hAnsi="Times New Roman CYR" w:cs="Times New Roman CYR"/>
                <w:sz w:val="25"/>
                <w:szCs w:val="25"/>
              </w:rPr>
              <w:t xml:space="preserve">з       </w:t>
            </w:r>
            <w:r>
              <w:rPr>
                <w:rFonts w:ascii="Times New Roman CYR" w:hAnsi="Times New Roman CYR" w:cs="Times New Roman CYR"/>
                <w:spacing w:val="1"/>
                <w:sz w:val="25"/>
                <w:szCs w:val="25"/>
              </w:rPr>
              <w:t xml:space="preserve"> </w:t>
            </w:r>
            <w:r>
              <w:rPr>
                <w:rFonts w:ascii="Times New Roman CYR" w:hAnsi="Times New Roman CYR" w:cs="Times New Roman CYR"/>
                <w:sz w:val="25"/>
                <w:szCs w:val="25"/>
              </w:rPr>
              <w:t>01</w:t>
            </w:r>
          </w:p>
          <w:p w:rsidR="006D0353" w:rsidRDefault="006D0353">
            <w:pPr>
              <w:autoSpaceDE w:val="0"/>
              <w:autoSpaceDN w:val="0"/>
              <w:adjustRightInd w:val="0"/>
              <w:rPr>
                <w:rFonts w:ascii="Calibri" w:hAnsi="Calibri" w:cs="Calibri"/>
                <w:sz w:val="22"/>
                <w:szCs w:val="22"/>
                <w:lang w:val="en"/>
              </w:rPr>
            </w:pPr>
            <w:r>
              <w:rPr>
                <w:sz w:val="25"/>
                <w:szCs w:val="25"/>
                <w:lang w:val="en"/>
              </w:rPr>
              <w:t>2022</w:t>
            </w:r>
            <w:r>
              <w:rPr>
                <w:spacing w:val="-11"/>
                <w:sz w:val="25"/>
                <w:szCs w:val="25"/>
                <w:lang w:val="en"/>
              </w:rPr>
              <w:t xml:space="preserve"> </w:t>
            </w:r>
            <w:r>
              <w:rPr>
                <w:rFonts w:ascii="Times New Roman CYR" w:hAnsi="Times New Roman CYR" w:cs="Times New Roman CYR"/>
                <w:sz w:val="25"/>
                <w:szCs w:val="25"/>
              </w:rPr>
              <w:t>року</w:t>
            </w:r>
          </w:p>
        </w:tc>
        <w:tc>
          <w:tcPr>
            <w:tcW w:w="922" w:type="dxa"/>
            <w:tcBorders>
              <w:top w:val="single" w:sz="3" w:space="0" w:color="000000"/>
              <w:left w:val="nil"/>
              <w:bottom w:val="single" w:sz="3" w:space="0" w:color="000000"/>
              <w:right w:val="single" w:sz="3" w:space="0" w:color="000000"/>
            </w:tcBorders>
            <w:shd w:val="clear" w:color="000000" w:fill="FFFFFF"/>
          </w:tcPr>
          <w:p w:rsidR="006D0353" w:rsidRDefault="006D0353">
            <w:pPr>
              <w:autoSpaceDE w:val="0"/>
              <w:autoSpaceDN w:val="0"/>
              <w:adjustRightInd w:val="0"/>
              <w:spacing w:line="281" w:lineRule="atLeast"/>
              <w:rPr>
                <w:rFonts w:ascii="Calibri" w:hAnsi="Calibri" w:cs="Calibri"/>
                <w:sz w:val="22"/>
                <w:szCs w:val="22"/>
                <w:lang w:val="en"/>
              </w:rPr>
            </w:pPr>
            <w:r>
              <w:rPr>
                <w:rFonts w:ascii="Times New Roman CYR" w:hAnsi="Times New Roman CYR" w:cs="Times New Roman CYR"/>
                <w:spacing w:val="-1"/>
                <w:sz w:val="25"/>
                <w:szCs w:val="25"/>
              </w:rPr>
              <w:t>січня</w:t>
            </w:r>
          </w:p>
        </w:tc>
        <w:tc>
          <w:tcPr>
            <w:tcW w:w="128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6</w:t>
            </w:r>
            <w:r>
              <w:rPr>
                <w:spacing w:val="-6"/>
                <w:sz w:val="25"/>
                <w:szCs w:val="25"/>
                <w:lang w:val="en"/>
              </w:rPr>
              <w:t xml:space="preserve"> </w:t>
            </w:r>
            <w:r>
              <w:rPr>
                <w:sz w:val="25"/>
                <w:szCs w:val="25"/>
                <w:lang w:val="en"/>
              </w:rPr>
              <w:t>500</w:t>
            </w:r>
          </w:p>
        </w:tc>
        <w:tc>
          <w:tcPr>
            <w:tcW w:w="2141"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rPr>
                <w:rFonts w:ascii="Calibri" w:hAnsi="Calibri" w:cs="Calibri"/>
                <w:sz w:val="22"/>
                <w:szCs w:val="22"/>
                <w:lang w:val="en"/>
              </w:rPr>
            </w:pP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2</w:t>
            </w:r>
            <w:r>
              <w:rPr>
                <w:spacing w:val="-6"/>
                <w:sz w:val="25"/>
                <w:szCs w:val="25"/>
                <w:lang w:val="en"/>
              </w:rPr>
              <w:t xml:space="preserve"> </w:t>
            </w:r>
            <w:r>
              <w:rPr>
                <w:sz w:val="25"/>
                <w:szCs w:val="25"/>
                <w:lang w:val="en"/>
              </w:rPr>
              <w:t>893</w:t>
            </w:r>
          </w:p>
        </w:tc>
        <w:tc>
          <w:tcPr>
            <w:tcW w:w="214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rPr>
                <w:rFonts w:ascii="Calibri" w:hAnsi="Calibri" w:cs="Calibri"/>
                <w:sz w:val="22"/>
                <w:szCs w:val="22"/>
                <w:lang w:val="en"/>
              </w:rPr>
            </w:pPr>
          </w:p>
        </w:tc>
      </w:tr>
      <w:tr w:rsidR="006D0353">
        <w:trPr>
          <w:trHeight w:val="1"/>
        </w:trPr>
        <w:tc>
          <w:tcPr>
            <w:tcW w:w="1147" w:type="dxa"/>
            <w:tcBorders>
              <w:top w:val="single" w:sz="3" w:space="0" w:color="000000"/>
              <w:left w:val="single" w:sz="3" w:space="0" w:color="000000"/>
              <w:bottom w:val="single" w:sz="3" w:space="0" w:color="000000"/>
              <w:right w:val="nil"/>
            </w:tcBorders>
            <w:shd w:val="clear" w:color="000000" w:fill="FFFFFF"/>
          </w:tcPr>
          <w:p w:rsidR="006D0353" w:rsidRDefault="006D0353">
            <w:pPr>
              <w:autoSpaceDE w:val="0"/>
              <w:autoSpaceDN w:val="0"/>
              <w:adjustRightInd w:val="0"/>
              <w:spacing w:line="281" w:lineRule="atLeast"/>
              <w:rPr>
                <w:rFonts w:ascii="Times New Roman CYR" w:hAnsi="Times New Roman CYR" w:cs="Times New Roman CYR"/>
                <w:sz w:val="25"/>
                <w:szCs w:val="25"/>
              </w:rPr>
            </w:pPr>
            <w:r>
              <w:rPr>
                <w:rFonts w:ascii="Times New Roman CYR" w:hAnsi="Times New Roman CYR" w:cs="Times New Roman CYR"/>
                <w:sz w:val="25"/>
                <w:szCs w:val="25"/>
              </w:rPr>
              <w:t xml:space="preserve">з     </w:t>
            </w:r>
            <w:r>
              <w:rPr>
                <w:rFonts w:ascii="Times New Roman CYR" w:hAnsi="Times New Roman CYR" w:cs="Times New Roman CYR"/>
                <w:spacing w:val="16"/>
                <w:sz w:val="25"/>
                <w:szCs w:val="25"/>
              </w:rPr>
              <w:t xml:space="preserve"> </w:t>
            </w:r>
            <w:r>
              <w:rPr>
                <w:rFonts w:ascii="Times New Roman CYR" w:hAnsi="Times New Roman CYR" w:cs="Times New Roman CYR"/>
                <w:sz w:val="25"/>
                <w:szCs w:val="25"/>
              </w:rPr>
              <w:t>01</w:t>
            </w:r>
          </w:p>
          <w:p w:rsidR="006D0353" w:rsidRDefault="006D0353">
            <w:pPr>
              <w:autoSpaceDE w:val="0"/>
              <w:autoSpaceDN w:val="0"/>
              <w:adjustRightInd w:val="0"/>
              <w:rPr>
                <w:rFonts w:ascii="Calibri" w:hAnsi="Calibri" w:cs="Calibri"/>
                <w:sz w:val="22"/>
                <w:szCs w:val="22"/>
                <w:lang w:val="en"/>
              </w:rPr>
            </w:pPr>
            <w:r>
              <w:rPr>
                <w:sz w:val="25"/>
                <w:szCs w:val="25"/>
                <w:lang w:val="en"/>
              </w:rPr>
              <w:t>2022</w:t>
            </w:r>
            <w:r>
              <w:rPr>
                <w:spacing w:val="-11"/>
                <w:sz w:val="25"/>
                <w:szCs w:val="25"/>
                <w:lang w:val="en"/>
              </w:rPr>
              <w:t xml:space="preserve"> </w:t>
            </w:r>
            <w:r>
              <w:rPr>
                <w:rFonts w:ascii="Times New Roman CYR" w:hAnsi="Times New Roman CYR" w:cs="Times New Roman CYR"/>
                <w:sz w:val="25"/>
                <w:szCs w:val="25"/>
              </w:rPr>
              <w:t>року</w:t>
            </w:r>
          </w:p>
        </w:tc>
        <w:tc>
          <w:tcPr>
            <w:tcW w:w="922" w:type="dxa"/>
            <w:tcBorders>
              <w:top w:val="single" w:sz="3" w:space="0" w:color="000000"/>
              <w:left w:val="nil"/>
              <w:bottom w:val="single" w:sz="3" w:space="0" w:color="000000"/>
              <w:right w:val="single" w:sz="3" w:space="0" w:color="000000"/>
            </w:tcBorders>
            <w:shd w:val="clear" w:color="000000" w:fill="FFFFFF"/>
          </w:tcPr>
          <w:p w:rsidR="006D0353" w:rsidRDefault="006D0353">
            <w:pPr>
              <w:autoSpaceDE w:val="0"/>
              <w:autoSpaceDN w:val="0"/>
              <w:adjustRightInd w:val="0"/>
              <w:spacing w:line="281" w:lineRule="atLeast"/>
              <w:rPr>
                <w:rFonts w:ascii="Calibri" w:hAnsi="Calibri" w:cs="Calibri"/>
                <w:sz w:val="22"/>
                <w:szCs w:val="22"/>
                <w:lang w:val="en"/>
              </w:rPr>
            </w:pPr>
            <w:r>
              <w:rPr>
                <w:rFonts w:ascii="Times New Roman CYR" w:hAnsi="Times New Roman CYR" w:cs="Times New Roman CYR"/>
                <w:sz w:val="25"/>
                <w:szCs w:val="25"/>
              </w:rPr>
              <w:t>жовтня</w:t>
            </w:r>
          </w:p>
        </w:tc>
        <w:tc>
          <w:tcPr>
            <w:tcW w:w="128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6</w:t>
            </w:r>
            <w:r>
              <w:rPr>
                <w:spacing w:val="-6"/>
                <w:sz w:val="25"/>
                <w:szCs w:val="25"/>
                <w:lang w:val="en"/>
              </w:rPr>
              <w:t xml:space="preserve"> </w:t>
            </w:r>
            <w:r>
              <w:rPr>
                <w:sz w:val="25"/>
                <w:szCs w:val="25"/>
                <w:lang w:val="en"/>
              </w:rPr>
              <w:t>700</w:t>
            </w:r>
          </w:p>
        </w:tc>
        <w:tc>
          <w:tcPr>
            <w:tcW w:w="2141"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jc w:val="center"/>
              <w:rPr>
                <w:rFonts w:ascii="Calibri" w:hAnsi="Calibri" w:cs="Calibri"/>
                <w:sz w:val="22"/>
                <w:szCs w:val="22"/>
                <w:lang w:val="en"/>
              </w:rPr>
            </w:pPr>
            <w:r>
              <w:rPr>
                <w:sz w:val="25"/>
                <w:szCs w:val="25"/>
                <w:lang w:val="en"/>
              </w:rPr>
              <w:t>3,1</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2</w:t>
            </w:r>
            <w:r>
              <w:rPr>
                <w:spacing w:val="-6"/>
                <w:sz w:val="25"/>
                <w:szCs w:val="25"/>
                <w:lang w:val="en"/>
              </w:rPr>
              <w:t xml:space="preserve"> </w:t>
            </w:r>
            <w:r>
              <w:rPr>
                <w:sz w:val="25"/>
                <w:szCs w:val="25"/>
                <w:lang w:val="en"/>
              </w:rPr>
              <w:t>982</w:t>
            </w:r>
          </w:p>
        </w:tc>
        <w:tc>
          <w:tcPr>
            <w:tcW w:w="214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jc w:val="center"/>
              <w:rPr>
                <w:rFonts w:ascii="Calibri" w:hAnsi="Calibri" w:cs="Calibri"/>
                <w:sz w:val="22"/>
                <w:szCs w:val="22"/>
                <w:lang w:val="en"/>
              </w:rPr>
            </w:pPr>
            <w:r>
              <w:rPr>
                <w:sz w:val="25"/>
                <w:szCs w:val="25"/>
                <w:lang w:val="en"/>
              </w:rPr>
              <w:t>3,1</w:t>
            </w:r>
          </w:p>
        </w:tc>
      </w:tr>
      <w:tr w:rsidR="006D0353">
        <w:trPr>
          <w:trHeight w:val="1"/>
        </w:trPr>
        <w:tc>
          <w:tcPr>
            <w:tcW w:w="1147" w:type="dxa"/>
            <w:tcBorders>
              <w:top w:val="single" w:sz="3" w:space="0" w:color="000000"/>
              <w:left w:val="single" w:sz="3" w:space="0" w:color="000000"/>
              <w:bottom w:val="single" w:sz="3" w:space="0" w:color="000000"/>
              <w:right w:val="nil"/>
            </w:tcBorders>
            <w:shd w:val="clear" w:color="000000" w:fill="FFFFFF"/>
          </w:tcPr>
          <w:p w:rsidR="006D0353" w:rsidRDefault="006D0353">
            <w:pPr>
              <w:autoSpaceDE w:val="0"/>
              <w:autoSpaceDN w:val="0"/>
              <w:adjustRightInd w:val="0"/>
              <w:spacing w:line="282" w:lineRule="atLeast"/>
              <w:rPr>
                <w:rFonts w:ascii="Times New Roman CYR" w:hAnsi="Times New Roman CYR" w:cs="Times New Roman CYR"/>
                <w:sz w:val="25"/>
                <w:szCs w:val="25"/>
              </w:rPr>
            </w:pPr>
            <w:r>
              <w:rPr>
                <w:rFonts w:ascii="Times New Roman CYR" w:hAnsi="Times New Roman CYR" w:cs="Times New Roman CYR"/>
                <w:sz w:val="25"/>
                <w:szCs w:val="25"/>
              </w:rPr>
              <w:lastRenderedPageBreak/>
              <w:t xml:space="preserve">з       </w:t>
            </w:r>
            <w:r>
              <w:rPr>
                <w:rFonts w:ascii="Times New Roman CYR" w:hAnsi="Times New Roman CYR" w:cs="Times New Roman CYR"/>
                <w:spacing w:val="1"/>
                <w:sz w:val="25"/>
                <w:szCs w:val="25"/>
              </w:rPr>
              <w:t xml:space="preserve"> </w:t>
            </w:r>
            <w:r>
              <w:rPr>
                <w:rFonts w:ascii="Times New Roman CYR" w:hAnsi="Times New Roman CYR" w:cs="Times New Roman CYR"/>
                <w:sz w:val="25"/>
                <w:szCs w:val="25"/>
              </w:rPr>
              <w:t>01</w:t>
            </w:r>
          </w:p>
          <w:p w:rsidR="006D0353" w:rsidRDefault="006D0353">
            <w:pPr>
              <w:autoSpaceDE w:val="0"/>
              <w:autoSpaceDN w:val="0"/>
              <w:adjustRightInd w:val="0"/>
              <w:rPr>
                <w:rFonts w:ascii="Calibri" w:hAnsi="Calibri" w:cs="Calibri"/>
                <w:sz w:val="22"/>
                <w:szCs w:val="22"/>
                <w:lang w:val="en"/>
              </w:rPr>
            </w:pPr>
            <w:r>
              <w:rPr>
                <w:sz w:val="25"/>
                <w:szCs w:val="25"/>
                <w:lang w:val="en"/>
              </w:rPr>
              <w:t>2023</w:t>
            </w:r>
            <w:r>
              <w:rPr>
                <w:spacing w:val="-11"/>
                <w:sz w:val="25"/>
                <w:szCs w:val="25"/>
                <w:lang w:val="en"/>
              </w:rPr>
              <w:t xml:space="preserve"> </w:t>
            </w:r>
            <w:r>
              <w:rPr>
                <w:rFonts w:ascii="Times New Roman CYR" w:hAnsi="Times New Roman CYR" w:cs="Times New Roman CYR"/>
                <w:sz w:val="25"/>
                <w:szCs w:val="25"/>
              </w:rPr>
              <w:t>року</w:t>
            </w:r>
          </w:p>
        </w:tc>
        <w:tc>
          <w:tcPr>
            <w:tcW w:w="922" w:type="dxa"/>
            <w:tcBorders>
              <w:top w:val="single" w:sz="3" w:space="0" w:color="000000"/>
              <w:left w:val="nil"/>
              <w:bottom w:val="single" w:sz="3" w:space="0" w:color="000000"/>
              <w:right w:val="single" w:sz="3" w:space="0" w:color="000000"/>
            </w:tcBorders>
            <w:shd w:val="clear" w:color="000000" w:fill="FFFFFF"/>
          </w:tcPr>
          <w:p w:rsidR="006D0353" w:rsidRDefault="006D0353">
            <w:pPr>
              <w:autoSpaceDE w:val="0"/>
              <w:autoSpaceDN w:val="0"/>
              <w:adjustRightInd w:val="0"/>
              <w:spacing w:line="282" w:lineRule="atLeast"/>
              <w:rPr>
                <w:rFonts w:ascii="Calibri" w:hAnsi="Calibri" w:cs="Calibri"/>
                <w:sz w:val="22"/>
                <w:szCs w:val="22"/>
                <w:lang w:val="en"/>
              </w:rPr>
            </w:pPr>
            <w:r>
              <w:rPr>
                <w:rFonts w:ascii="Times New Roman CYR" w:hAnsi="Times New Roman CYR" w:cs="Times New Roman CYR"/>
                <w:spacing w:val="-1"/>
                <w:sz w:val="25"/>
                <w:szCs w:val="25"/>
              </w:rPr>
              <w:t>січня</w:t>
            </w:r>
          </w:p>
        </w:tc>
        <w:tc>
          <w:tcPr>
            <w:tcW w:w="128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8"/>
              <w:rPr>
                <w:rFonts w:ascii="Calibri" w:hAnsi="Calibri" w:cs="Calibri"/>
                <w:sz w:val="22"/>
                <w:szCs w:val="22"/>
                <w:lang w:val="en"/>
              </w:rPr>
            </w:pPr>
            <w:r>
              <w:rPr>
                <w:sz w:val="25"/>
                <w:szCs w:val="25"/>
                <w:lang w:val="en"/>
              </w:rPr>
              <w:t>7</w:t>
            </w:r>
            <w:r>
              <w:rPr>
                <w:spacing w:val="-6"/>
                <w:sz w:val="25"/>
                <w:szCs w:val="25"/>
                <w:lang w:val="en"/>
              </w:rPr>
              <w:t xml:space="preserve"> </w:t>
            </w:r>
            <w:r>
              <w:rPr>
                <w:sz w:val="25"/>
                <w:szCs w:val="25"/>
                <w:lang w:val="en"/>
              </w:rPr>
              <w:t>176</w:t>
            </w:r>
          </w:p>
        </w:tc>
        <w:tc>
          <w:tcPr>
            <w:tcW w:w="2141"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8"/>
              <w:jc w:val="center"/>
              <w:rPr>
                <w:rFonts w:ascii="Calibri" w:hAnsi="Calibri" w:cs="Calibri"/>
                <w:sz w:val="22"/>
                <w:szCs w:val="22"/>
                <w:lang w:val="en"/>
              </w:rPr>
            </w:pPr>
            <w:r>
              <w:rPr>
                <w:sz w:val="25"/>
                <w:szCs w:val="25"/>
                <w:lang w:val="en"/>
              </w:rPr>
              <w:t>7,1</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8"/>
              <w:rPr>
                <w:rFonts w:ascii="Calibri" w:hAnsi="Calibri" w:cs="Calibri"/>
                <w:sz w:val="22"/>
                <w:szCs w:val="22"/>
                <w:lang w:val="en"/>
              </w:rPr>
            </w:pPr>
            <w:r>
              <w:rPr>
                <w:sz w:val="25"/>
                <w:szCs w:val="25"/>
                <w:lang w:val="en"/>
              </w:rPr>
              <w:t>3</w:t>
            </w:r>
            <w:r>
              <w:rPr>
                <w:spacing w:val="-6"/>
                <w:sz w:val="25"/>
                <w:szCs w:val="25"/>
                <w:lang w:val="en"/>
              </w:rPr>
              <w:t xml:space="preserve"> </w:t>
            </w:r>
            <w:r>
              <w:rPr>
                <w:sz w:val="25"/>
                <w:szCs w:val="25"/>
                <w:lang w:val="en"/>
              </w:rPr>
              <w:t>193</w:t>
            </w:r>
          </w:p>
        </w:tc>
        <w:tc>
          <w:tcPr>
            <w:tcW w:w="214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8"/>
              <w:jc w:val="center"/>
              <w:rPr>
                <w:rFonts w:ascii="Calibri" w:hAnsi="Calibri" w:cs="Calibri"/>
                <w:sz w:val="22"/>
                <w:szCs w:val="22"/>
                <w:lang w:val="en"/>
              </w:rPr>
            </w:pPr>
            <w:r>
              <w:rPr>
                <w:sz w:val="25"/>
                <w:szCs w:val="25"/>
                <w:lang w:val="en"/>
              </w:rPr>
              <w:t>7,1</w:t>
            </w:r>
          </w:p>
        </w:tc>
      </w:tr>
      <w:tr w:rsidR="006D0353">
        <w:trPr>
          <w:trHeight w:val="1"/>
        </w:trPr>
        <w:tc>
          <w:tcPr>
            <w:tcW w:w="1147" w:type="dxa"/>
            <w:tcBorders>
              <w:top w:val="single" w:sz="3" w:space="0" w:color="000000"/>
              <w:left w:val="single" w:sz="3" w:space="0" w:color="000000"/>
              <w:bottom w:val="single" w:sz="3" w:space="0" w:color="000000"/>
              <w:right w:val="nil"/>
            </w:tcBorders>
            <w:shd w:val="clear" w:color="000000" w:fill="FFFFFF"/>
          </w:tcPr>
          <w:p w:rsidR="006D0353" w:rsidRDefault="006D0353">
            <w:pPr>
              <w:autoSpaceDE w:val="0"/>
              <w:autoSpaceDN w:val="0"/>
              <w:adjustRightInd w:val="0"/>
              <w:spacing w:line="280" w:lineRule="atLeast"/>
              <w:rPr>
                <w:rFonts w:ascii="Times New Roman CYR" w:hAnsi="Times New Roman CYR" w:cs="Times New Roman CYR"/>
                <w:sz w:val="25"/>
                <w:szCs w:val="25"/>
              </w:rPr>
            </w:pPr>
            <w:r>
              <w:rPr>
                <w:rFonts w:ascii="Times New Roman CYR" w:hAnsi="Times New Roman CYR" w:cs="Times New Roman CYR"/>
                <w:sz w:val="25"/>
                <w:szCs w:val="25"/>
              </w:rPr>
              <w:t xml:space="preserve">з       </w:t>
            </w:r>
            <w:r>
              <w:rPr>
                <w:rFonts w:ascii="Times New Roman CYR" w:hAnsi="Times New Roman CYR" w:cs="Times New Roman CYR"/>
                <w:spacing w:val="1"/>
                <w:sz w:val="25"/>
                <w:szCs w:val="25"/>
              </w:rPr>
              <w:t xml:space="preserve"> </w:t>
            </w:r>
            <w:r>
              <w:rPr>
                <w:rFonts w:ascii="Times New Roman CYR" w:hAnsi="Times New Roman CYR" w:cs="Times New Roman CYR"/>
                <w:sz w:val="25"/>
                <w:szCs w:val="25"/>
              </w:rPr>
              <w:t>01</w:t>
            </w:r>
          </w:p>
          <w:p w:rsidR="006D0353" w:rsidRDefault="006D0353">
            <w:pPr>
              <w:autoSpaceDE w:val="0"/>
              <w:autoSpaceDN w:val="0"/>
              <w:adjustRightInd w:val="0"/>
              <w:spacing w:line="287" w:lineRule="atLeast"/>
              <w:rPr>
                <w:rFonts w:ascii="Calibri" w:hAnsi="Calibri" w:cs="Calibri"/>
                <w:sz w:val="22"/>
                <w:szCs w:val="22"/>
                <w:lang w:val="en"/>
              </w:rPr>
            </w:pPr>
            <w:r>
              <w:rPr>
                <w:sz w:val="25"/>
                <w:szCs w:val="25"/>
                <w:lang w:val="en"/>
              </w:rPr>
              <w:t>2024</w:t>
            </w:r>
            <w:r>
              <w:rPr>
                <w:spacing w:val="-11"/>
                <w:sz w:val="25"/>
                <w:szCs w:val="25"/>
                <w:lang w:val="en"/>
              </w:rPr>
              <w:t xml:space="preserve"> </w:t>
            </w:r>
            <w:r>
              <w:rPr>
                <w:rFonts w:ascii="Times New Roman CYR" w:hAnsi="Times New Roman CYR" w:cs="Times New Roman CYR"/>
                <w:sz w:val="25"/>
                <w:szCs w:val="25"/>
              </w:rPr>
              <w:t>року</w:t>
            </w:r>
          </w:p>
        </w:tc>
        <w:tc>
          <w:tcPr>
            <w:tcW w:w="922" w:type="dxa"/>
            <w:tcBorders>
              <w:top w:val="single" w:sz="3" w:space="0" w:color="000000"/>
              <w:left w:val="nil"/>
              <w:bottom w:val="single" w:sz="3" w:space="0" w:color="000000"/>
              <w:right w:val="single" w:sz="3" w:space="0" w:color="000000"/>
            </w:tcBorders>
            <w:shd w:val="clear" w:color="000000" w:fill="FFFFFF"/>
          </w:tcPr>
          <w:p w:rsidR="006D0353" w:rsidRDefault="006D0353">
            <w:pPr>
              <w:autoSpaceDE w:val="0"/>
              <w:autoSpaceDN w:val="0"/>
              <w:adjustRightInd w:val="0"/>
              <w:spacing w:line="281" w:lineRule="atLeast"/>
              <w:rPr>
                <w:rFonts w:ascii="Calibri" w:hAnsi="Calibri" w:cs="Calibri"/>
                <w:sz w:val="22"/>
                <w:szCs w:val="22"/>
                <w:lang w:val="en"/>
              </w:rPr>
            </w:pPr>
            <w:r>
              <w:rPr>
                <w:rFonts w:ascii="Times New Roman CYR" w:hAnsi="Times New Roman CYR" w:cs="Times New Roman CYR"/>
                <w:spacing w:val="-1"/>
                <w:sz w:val="25"/>
                <w:szCs w:val="25"/>
              </w:rPr>
              <w:t>січня</w:t>
            </w:r>
          </w:p>
        </w:tc>
        <w:tc>
          <w:tcPr>
            <w:tcW w:w="1289"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7</w:t>
            </w:r>
            <w:r>
              <w:rPr>
                <w:spacing w:val="-6"/>
                <w:sz w:val="25"/>
                <w:szCs w:val="25"/>
                <w:lang w:val="en"/>
              </w:rPr>
              <w:t xml:space="preserve"> </w:t>
            </w:r>
            <w:r>
              <w:rPr>
                <w:sz w:val="25"/>
                <w:szCs w:val="25"/>
                <w:lang w:val="en"/>
              </w:rPr>
              <w:t>665</w:t>
            </w:r>
          </w:p>
        </w:tc>
        <w:tc>
          <w:tcPr>
            <w:tcW w:w="2141"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jc w:val="center"/>
              <w:rPr>
                <w:rFonts w:ascii="Calibri" w:hAnsi="Calibri" w:cs="Calibri"/>
                <w:sz w:val="22"/>
                <w:szCs w:val="22"/>
                <w:lang w:val="en"/>
              </w:rPr>
            </w:pPr>
            <w:r>
              <w:rPr>
                <w:sz w:val="25"/>
                <w:szCs w:val="25"/>
                <w:lang w:val="en"/>
              </w:rPr>
              <w:t>6,8</w:t>
            </w:r>
          </w:p>
        </w:tc>
        <w:tc>
          <w:tcPr>
            <w:tcW w:w="1440"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rPr>
                <w:rFonts w:ascii="Calibri" w:hAnsi="Calibri" w:cs="Calibri"/>
                <w:sz w:val="22"/>
                <w:szCs w:val="22"/>
                <w:lang w:val="en"/>
              </w:rPr>
            </w:pPr>
            <w:r>
              <w:rPr>
                <w:sz w:val="25"/>
                <w:szCs w:val="25"/>
                <w:lang w:val="en"/>
              </w:rPr>
              <w:t>3</w:t>
            </w:r>
            <w:r>
              <w:rPr>
                <w:spacing w:val="-6"/>
                <w:sz w:val="25"/>
                <w:szCs w:val="25"/>
                <w:lang w:val="en"/>
              </w:rPr>
              <w:t xml:space="preserve"> </w:t>
            </w:r>
            <w:r>
              <w:rPr>
                <w:sz w:val="25"/>
                <w:szCs w:val="25"/>
                <w:lang w:val="en"/>
              </w:rPr>
              <w:t>411</w:t>
            </w:r>
          </w:p>
        </w:tc>
        <w:tc>
          <w:tcPr>
            <w:tcW w:w="2142" w:type="dxa"/>
            <w:tcBorders>
              <w:top w:val="single" w:sz="3" w:space="0" w:color="000000"/>
              <w:left w:val="single" w:sz="3" w:space="0" w:color="000000"/>
              <w:bottom w:val="single" w:sz="3" w:space="0" w:color="000000"/>
              <w:right w:val="single" w:sz="3" w:space="0" w:color="000000"/>
            </w:tcBorders>
            <w:shd w:val="clear" w:color="000000" w:fill="FFFFFF"/>
          </w:tcPr>
          <w:p w:rsidR="006D0353" w:rsidRDefault="006D0353">
            <w:pPr>
              <w:autoSpaceDE w:val="0"/>
              <w:autoSpaceDN w:val="0"/>
              <w:adjustRightInd w:val="0"/>
              <w:spacing w:before="137"/>
              <w:jc w:val="center"/>
              <w:rPr>
                <w:rFonts w:ascii="Calibri" w:hAnsi="Calibri" w:cs="Calibri"/>
                <w:sz w:val="22"/>
                <w:szCs w:val="22"/>
                <w:lang w:val="en"/>
              </w:rPr>
            </w:pPr>
            <w:r>
              <w:rPr>
                <w:sz w:val="25"/>
                <w:szCs w:val="25"/>
                <w:lang w:val="en"/>
              </w:rPr>
              <w:t>6,8</w:t>
            </w:r>
          </w:p>
        </w:tc>
      </w:tr>
    </w:tbl>
    <w:p w:rsidR="006D0353" w:rsidRDefault="006D0353" w:rsidP="006D0353">
      <w:pPr>
        <w:autoSpaceDE w:val="0"/>
        <w:autoSpaceDN w:val="0"/>
        <w:adjustRightInd w:val="0"/>
        <w:ind w:firstLine="851"/>
        <w:jc w:val="both"/>
        <w:rPr>
          <w:b/>
          <w:bCs/>
          <w:sz w:val="28"/>
          <w:szCs w:val="28"/>
          <w:lang w:val="en"/>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Державна бюджетна політика щодо місцевих бюджетів та міжбюджетних відносин у 2022 – 2024 роках буде спрямована на розвиток середньострокового бюджетного планування на місцевому рівні, удосконалення міжбюджетного регулювання, зміцнення фінансової спроможності місцевих бюджетів, підвищення прозорості та результативності використання бюджетних ресурсів, а також збереження дворівневої системи міжбюджетних відносин.</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Формування взаємовідносин між державним бюджетом та місцевими бюджетами протягом 2022 – 2024 років здійснюватиметься з урахуванням змін в адміністративно-територіальному устрої України. Складання проектів місцевих бюджетів має здійснюватися з дотриманням вимог Бюджетного та Податкового кодексів України, з урахуванням прийнятих законодавчих змін.</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Основними пріоритетними завданням</w:t>
      </w:r>
      <w:r w:rsidR="00B019A7">
        <w:rPr>
          <w:rFonts w:ascii="Times New Roman CYR" w:hAnsi="Times New Roman CYR" w:cs="Times New Roman CYR"/>
          <w:sz w:val="28"/>
          <w:szCs w:val="28"/>
        </w:rPr>
        <w:t>и</w:t>
      </w:r>
      <w:r>
        <w:rPr>
          <w:rFonts w:ascii="Times New Roman CYR" w:hAnsi="Times New Roman CYR" w:cs="Times New Roman CYR"/>
          <w:sz w:val="28"/>
          <w:szCs w:val="28"/>
        </w:rPr>
        <w:t xml:space="preserve"> економічного і соціального розвитку району  є:</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забезпечення стабільної роботи систем життєдіяльності району та покращення якості життя населення;</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створення привабливого інвестиційного середовища в районі;</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реалізація спільних проектів з міжнародними організаціями, залучення нового досвіду та додаткового фінансування від міжнародних організацій;</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енергоефективність та захист навколишнього середовища;</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забезпечення більш здорового способу життя у районі шляхом широкого залучення мешканців району до участі у спортивних та оздоровчих заходах.</w:t>
      </w:r>
    </w:p>
    <w:p w:rsidR="006D0353" w:rsidRPr="006D0353" w:rsidRDefault="006D0353" w:rsidP="006D0353">
      <w:pPr>
        <w:autoSpaceDE w:val="0"/>
        <w:autoSpaceDN w:val="0"/>
        <w:adjustRightInd w:val="0"/>
        <w:ind w:firstLine="851"/>
        <w:jc w:val="both"/>
        <w:rPr>
          <w:sz w:val="28"/>
          <w:szCs w:val="28"/>
          <w:lang w:val="ru-RU"/>
        </w:rPr>
      </w:pPr>
    </w:p>
    <w:p w:rsidR="00B019A7" w:rsidRDefault="006D0353" w:rsidP="006D0353">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Основні показники економічного і соціального розвитку</w:t>
      </w:r>
    </w:p>
    <w:p w:rsidR="006D0353" w:rsidRDefault="006D0353" w:rsidP="006D0353">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 Луцького району у 2020 - 2024 роках</w:t>
      </w:r>
    </w:p>
    <w:p w:rsidR="006D0353" w:rsidRPr="006D0353" w:rsidRDefault="006D0353" w:rsidP="006D0353">
      <w:pPr>
        <w:autoSpaceDE w:val="0"/>
        <w:autoSpaceDN w:val="0"/>
        <w:adjustRightInd w:val="0"/>
        <w:rPr>
          <w:b/>
          <w:bCs/>
          <w:sz w:val="28"/>
          <w:szCs w:val="28"/>
          <w:lang w:val="ru-RU"/>
        </w:rPr>
      </w:pPr>
    </w:p>
    <w:tbl>
      <w:tblPr>
        <w:tblW w:w="0" w:type="auto"/>
        <w:tblInd w:w="674" w:type="dxa"/>
        <w:tblLayout w:type="fixed"/>
        <w:tblCellMar>
          <w:left w:w="106" w:type="dxa"/>
          <w:right w:w="106" w:type="dxa"/>
        </w:tblCellMar>
        <w:tblLook w:val="0000" w:firstRow="0" w:lastRow="0" w:firstColumn="0" w:lastColumn="0" w:noHBand="0" w:noVBand="0"/>
      </w:tblPr>
      <w:tblGrid>
        <w:gridCol w:w="2866"/>
        <w:gridCol w:w="1132"/>
        <w:gridCol w:w="995"/>
        <w:gridCol w:w="1212"/>
        <w:gridCol w:w="1026"/>
        <w:gridCol w:w="1026"/>
        <w:gridCol w:w="1026"/>
      </w:tblGrid>
      <w:tr w:rsidR="006D0353">
        <w:trPr>
          <w:trHeight w:val="1"/>
        </w:trPr>
        <w:tc>
          <w:tcPr>
            <w:tcW w:w="286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Показники</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Одиниця виміру</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Times New Roman CYR" w:hAnsi="Times New Roman CYR" w:cs="Times New Roman CYR"/>
              </w:rPr>
            </w:pPr>
            <w:r>
              <w:rPr>
                <w:lang w:val="en"/>
              </w:rPr>
              <w:t xml:space="preserve">2020 </w:t>
            </w:r>
            <w:r>
              <w:rPr>
                <w:rFonts w:ascii="Times New Roman CYR" w:hAnsi="Times New Roman CYR" w:cs="Times New Roman CYR"/>
              </w:rPr>
              <w:t>рік</w:t>
            </w:r>
          </w:p>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факт</w:t>
            </w:r>
          </w:p>
        </w:tc>
        <w:tc>
          <w:tcPr>
            <w:tcW w:w="1212"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Times New Roman CYR" w:hAnsi="Times New Roman CYR" w:cs="Times New Roman CYR"/>
              </w:rPr>
            </w:pPr>
            <w:r>
              <w:rPr>
                <w:lang w:val="en"/>
              </w:rPr>
              <w:t xml:space="preserve">2021  </w:t>
            </w:r>
            <w:r>
              <w:rPr>
                <w:rFonts w:ascii="Times New Roman CYR" w:hAnsi="Times New Roman CYR" w:cs="Times New Roman CYR"/>
              </w:rPr>
              <w:t xml:space="preserve">рік </w:t>
            </w:r>
          </w:p>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очікуване</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Times New Roman CYR" w:hAnsi="Times New Roman CYR" w:cs="Times New Roman CYR"/>
              </w:rPr>
            </w:pPr>
            <w:r>
              <w:rPr>
                <w:lang w:val="en"/>
              </w:rPr>
              <w:t xml:space="preserve">2022 </w:t>
            </w:r>
            <w:r>
              <w:rPr>
                <w:rFonts w:ascii="Times New Roman CYR" w:hAnsi="Times New Roman CYR" w:cs="Times New Roman CYR"/>
              </w:rPr>
              <w:t>рік</w:t>
            </w:r>
          </w:p>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прогноз</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 xml:space="preserve">2023 </w:t>
            </w:r>
            <w:r>
              <w:rPr>
                <w:rFonts w:ascii="Times New Roman CYR" w:hAnsi="Times New Roman CYR" w:cs="Times New Roman CYR"/>
              </w:rPr>
              <w:t>рік прогноз</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2024</w:t>
            </w:r>
            <w:r>
              <w:rPr>
                <w:rFonts w:ascii="Times New Roman CYR" w:hAnsi="Times New Roman CYR" w:cs="Times New Roman CYR"/>
              </w:rPr>
              <w:t>рік прогноз</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1</w:t>
            </w:r>
          </w:p>
        </w:tc>
        <w:tc>
          <w:tcPr>
            <w:tcW w:w="1132"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2</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3</w:t>
            </w:r>
          </w:p>
        </w:tc>
        <w:tc>
          <w:tcPr>
            <w:tcW w:w="1212"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3</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4</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b/>
                <w:bCs/>
                <w:lang w:val="en"/>
              </w:rPr>
              <w:t>5</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keepNext/>
              <w:autoSpaceDE w:val="0"/>
              <w:autoSpaceDN w:val="0"/>
              <w:adjustRightInd w:val="0"/>
              <w:rPr>
                <w:rFonts w:ascii="Calibri" w:hAnsi="Calibri" w:cs="Calibri"/>
                <w:sz w:val="22"/>
                <w:szCs w:val="22"/>
                <w:lang w:val="en"/>
              </w:rPr>
            </w:pPr>
            <w:r>
              <w:rPr>
                <w:rFonts w:ascii="Times New Roman CYR" w:hAnsi="Times New Roman CYR" w:cs="Times New Roman CYR"/>
                <w:b/>
                <w:bCs/>
                <w:spacing w:val="14"/>
                <w:u w:val="single"/>
              </w:rPr>
              <w:t>Сфера реального сектору економіки</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Обсяг реалізованої промислової продукції у діючих цінах - всього</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грн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7700,00</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14000,0</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14140,0</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14281,4</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14424,2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Обсяг реалізованої промислової продукції у розрахунку на душу населення</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грн</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114754</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rPr>
                <w:rFonts w:ascii="Calibri" w:hAnsi="Calibri" w:cs="Calibri"/>
                <w:sz w:val="22"/>
                <w:szCs w:val="22"/>
                <w:lang w:val="en"/>
              </w:rPr>
            </w:pPr>
            <w:r>
              <w:rPr>
                <w:lang w:val="en"/>
              </w:rPr>
              <w:t>30650,0</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rPr>
                <w:rFonts w:ascii="Calibri" w:hAnsi="Calibri" w:cs="Calibri"/>
                <w:sz w:val="22"/>
                <w:szCs w:val="22"/>
                <w:lang w:val="en"/>
              </w:rPr>
            </w:pPr>
            <w:r>
              <w:rPr>
                <w:lang w:val="en"/>
              </w:rPr>
              <w:t>30956,0</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31265,6</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rPr>
                <w:rFonts w:ascii="Calibri" w:hAnsi="Calibri" w:cs="Calibri"/>
                <w:sz w:val="22"/>
                <w:szCs w:val="22"/>
                <w:lang w:val="en"/>
              </w:rPr>
            </w:pPr>
            <w:r>
              <w:rPr>
                <w:lang w:val="en"/>
              </w:rPr>
              <w:t>31578,2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i/>
                <w:iCs/>
              </w:rPr>
              <w:t xml:space="preserve">Виробництво продукції </w:t>
            </w:r>
            <w:r>
              <w:rPr>
                <w:rFonts w:ascii="Times New Roman CYR" w:hAnsi="Times New Roman CYR" w:cs="Times New Roman CYR"/>
                <w:i/>
                <w:iCs/>
              </w:rPr>
              <w:lastRenderedPageBreak/>
              <w:t>рослинництва:</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rPr>
              <w:lastRenderedPageBreak/>
              <w:t>зернові та зернобобові, включаючи кукурудзу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тонн</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160,0</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382,8</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385,6</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390,2</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396,4</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rPr>
              <w:t>цукрові буряки</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тонн</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100,0</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141,6</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143,2</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145,1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146,0</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rPr>
              <w:t>картопля</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тонн</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70,2</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182,3</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186,9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189,4</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190,2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spacing w:line="340" w:lineRule="atLeast"/>
              <w:rPr>
                <w:rFonts w:ascii="Calibri" w:hAnsi="Calibri" w:cs="Calibri"/>
                <w:sz w:val="22"/>
                <w:szCs w:val="22"/>
                <w:lang w:val="en"/>
              </w:rPr>
            </w:pPr>
            <w:r>
              <w:rPr>
                <w:rFonts w:ascii="Times New Roman CYR" w:hAnsi="Times New Roman CYR" w:cs="Times New Roman CYR"/>
                <w:i/>
                <w:iCs/>
              </w:rPr>
              <w:t>Виробництво продукції тваринництва:</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spacing w:line="340" w:lineRule="atLeast"/>
              <w:rPr>
                <w:rFonts w:ascii="Calibri" w:hAnsi="Calibri" w:cs="Calibri"/>
                <w:sz w:val="22"/>
                <w:szCs w:val="22"/>
                <w:lang w:val="ru-RU"/>
              </w:rPr>
            </w:pPr>
            <w:r>
              <w:rPr>
                <w:rFonts w:ascii="Times New Roman CYR" w:hAnsi="Times New Roman CYR" w:cs="Times New Roman CYR"/>
              </w:rPr>
              <w:t xml:space="preserve">реалізація худоби та птиці на забій (у живій вазі) </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тонн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4,2</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27,6</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26,9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25,5</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24,3</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spacing w:line="340" w:lineRule="atLeast"/>
              <w:rPr>
                <w:rFonts w:ascii="Calibri" w:hAnsi="Calibri" w:cs="Calibri"/>
                <w:sz w:val="22"/>
                <w:szCs w:val="22"/>
                <w:lang w:val="en"/>
              </w:rPr>
            </w:pPr>
            <w:r>
              <w:rPr>
                <w:rFonts w:ascii="Times New Roman CYR" w:hAnsi="Times New Roman CYR" w:cs="Times New Roman CYR"/>
              </w:rPr>
              <w:t>молоко</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тонн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lang w:val="en"/>
              </w:rPr>
              <w:t>51,0</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71,6</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lang w:val="en"/>
              </w:rPr>
              <w:t>71,9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72,0</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r>
              <w:rPr>
                <w:lang w:val="en"/>
              </w:rPr>
              <w:t>72,0</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spacing w:line="340" w:lineRule="atLeast"/>
              <w:rPr>
                <w:rFonts w:ascii="Calibri" w:hAnsi="Calibri" w:cs="Calibri"/>
                <w:sz w:val="22"/>
                <w:szCs w:val="22"/>
                <w:lang w:val="en"/>
              </w:rPr>
            </w:pPr>
            <w:r>
              <w:rPr>
                <w:rFonts w:ascii="Times New Roman CYR" w:hAnsi="Times New Roman CYR" w:cs="Times New Roman CYR"/>
              </w:rPr>
              <w:t>Яйця</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шт</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16,5</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17,2</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17,7</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18,2</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18,4</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b/>
                <w:bCs/>
                <w:u w:val="single"/>
              </w:rPr>
              <w:t xml:space="preserve">Показники рівня життя </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 xml:space="preserve">Середньомісячна заробітна плата одного штатного працівника </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грн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12975,6</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10873</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11960</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13156</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14472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Заборгованість із виплати заробітної плати (на кінець року), всього</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грн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2,4</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2,6</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2,8</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3,0</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3,2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Темп зростання (зниження) заборгованості з виплати заробітної плати у відсотках до початку звітного року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-14,3</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8,3</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7,7</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7,1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6,7</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Заборгованість з виплати заробітної плати на економічно активних підприємствах</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грн</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0,7</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0,7</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0,8</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0,8</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Темп зростання (зниження) заборгованості з виплати заробітної плати на економічно активних підприємствах  у відсотках до початку звітного року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 xml:space="preserve">Частка працівників, яким нараховано заробітну плату нижче прожиткового мінімуму для працездатної особи </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0,1</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b/>
                <w:bCs/>
                <w:u w:val="single"/>
              </w:rPr>
              <w:lastRenderedPageBreak/>
              <w:t>Населення та ринок праці</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i/>
                <w:iCs/>
              </w:rPr>
              <w:t xml:space="preserve">Середньорічна чисельність наявного населення </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осіб</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67,1</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456,7</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456,9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457,0</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457,2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Чисельність економічно-активного населення в т. ч.:</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осіб</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rPr>
                <w:rFonts w:ascii="Calibri" w:hAnsi="Calibri" w:cs="Calibri"/>
                <w:sz w:val="22"/>
                <w:szCs w:val="22"/>
                <w:lang w:val="en"/>
              </w:rPr>
            </w:pPr>
            <w:r>
              <w:rPr>
                <w:rFonts w:ascii="Times New Roman CYR" w:hAnsi="Times New Roman CYR" w:cs="Times New Roman CYR"/>
                <w:i/>
                <w:iCs/>
              </w:rPr>
              <w:t>працездатного віку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rFonts w:ascii="Times New Roman CYR" w:hAnsi="Times New Roman CYR" w:cs="Times New Roman CYR"/>
              </w:rPr>
              <w:t>тис. осіб</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42,5</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296,8</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296,9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297,05</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297,2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Рівень безробіття (за методологією МОП)</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1,5</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1,7</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2,0</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2,1</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keepNext/>
              <w:autoSpaceDE w:val="0"/>
              <w:autoSpaceDN w:val="0"/>
              <w:adjustRightInd w:val="0"/>
              <w:rPr>
                <w:rFonts w:ascii="Calibri" w:hAnsi="Calibri" w:cs="Calibri"/>
                <w:sz w:val="22"/>
                <w:szCs w:val="22"/>
                <w:lang w:val="en"/>
              </w:rPr>
            </w:pPr>
            <w:r>
              <w:rPr>
                <w:rFonts w:ascii="Times New Roman CYR" w:hAnsi="Times New Roman CYR" w:cs="Times New Roman CYR"/>
                <w:b/>
                <w:bCs/>
                <w:spacing w:val="14"/>
                <w:u w:val="single"/>
              </w:rPr>
              <w:t>Інвестиційна та зовнішньоекономічна діяльність</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rFonts w:ascii="Calibri" w:hAnsi="Calibri" w:cs="Calibri"/>
                <w:sz w:val="22"/>
                <w:szCs w:val="22"/>
                <w:lang w:val="en"/>
              </w:rPr>
            </w:pP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keepNext/>
              <w:autoSpaceDE w:val="0"/>
              <w:autoSpaceDN w:val="0"/>
              <w:adjustRightInd w:val="0"/>
              <w:rPr>
                <w:rFonts w:ascii="Calibri" w:hAnsi="Calibri" w:cs="Calibri"/>
                <w:sz w:val="22"/>
                <w:szCs w:val="22"/>
                <w:lang w:val="en"/>
              </w:rPr>
            </w:pPr>
            <w:r>
              <w:rPr>
                <w:rFonts w:ascii="Times New Roman CYR" w:hAnsi="Times New Roman CYR" w:cs="Times New Roman CYR"/>
                <w:b/>
                <w:bCs/>
                <w:spacing w:val="8"/>
              </w:rPr>
              <w:t>Обсяг експорту, всього</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дол США</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371,1</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381,8</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382,1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383,2</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384,1</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jc w:val="both"/>
              <w:rPr>
                <w:rFonts w:ascii="Calibri" w:hAnsi="Calibri" w:cs="Calibri"/>
                <w:sz w:val="22"/>
                <w:szCs w:val="22"/>
                <w:lang w:val="ru-RU"/>
              </w:rPr>
            </w:pPr>
            <w:r>
              <w:rPr>
                <w:rFonts w:ascii="Times New Roman CYR" w:hAnsi="Times New Roman CYR" w:cs="Times New Roman CYR"/>
                <w:i/>
                <w:iCs/>
              </w:rPr>
              <w:t>Обсяг експорту у % до попереднього року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rPr>
                <w:rFonts w:ascii="Calibri" w:hAnsi="Calibri" w:cs="Calibri"/>
                <w:sz w:val="22"/>
                <w:szCs w:val="22"/>
                <w:lang w:val="en"/>
              </w:rPr>
            </w:pPr>
            <w:r>
              <w:rPr>
                <w:lang w:val="en"/>
              </w:rPr>
              <w:t>128,7</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102,9</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100,1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100,3</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100,2</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Default="006D0353">
            <w:pPr>
              <w:keepNext/>
              <w:autoSpaceDE w:val="0"/>
              <w:autoSpaceDN w:val="0"/>
              <w:adjustRightInd w:val="0"/>
              <w:rPr>
                <w:rFonts w:ascii="Calibri" w:hAnsi="Calibri" w:cs="Calibri"/>
                <w:sz w:val="22"/>
                <w:szCs w:val="22"/>
                <w:lang w:val="en"/>
              </w:rPr>
            </w:pPr>
            <w:r>
              <w:rPr>
                <w:rFonts w:ascii="Times New Roman CYR" w:hAnsi="Times New Roman CYR" w:cs="Times New Roman CYR"/>
                <w:b/>
                <w:bCs/>
                <w:spacing w:val="8"/>
              </w:rPr>
              <w:t>Обсяг імпорту, всього</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B019A7">
            <w:pPr>
              <w:autoSpaceDE w:val="0"/>
              <w:autoSpaceDN w:val="0"/>
              <w:adjustRightInd w:val="0"/>
              <w:jc w:val="center"/>
              <w:rPr>
                <w:rFonts w:ascii="Calibri" w:hAnsi="Calibri" w:cs="Calibri"/>
                <w:sz w:val="22"/>
                <w:szCs w:val="22"/>
                <w:lang w:val="en"/>
              </w:rPr>
            </w:pPr>
            <w:r>
              <w:rPr>
                <w:rFonts w:ascii="Times New Roman CYR" w:hAnsi="Times New Roman CYR" w:cs="Times New Roman CYR"/>
              </w:rPr>
              <w:t>млн</w:t>
            </w:r>
            <w:r w:rsidR="006D0353">
              <w:rPr>
                <w:rFonts w:ascii="Times New Roman CYR" w:hAnsi="Times New Roman CYR" w:cs="Times New Roman CYR"/>
              </w:rPr>
              <w:t xml:space="preserve"> дол США</w:t>
            </w:r>
          </w:p>
        </w:tc>
        <w:tc>
          <w:tcPr>
            <w:tcW w:w="995"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253,3</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277</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278,1</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279,4</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280</w:t>
            </w:r>
          </w:p>
        </w:tc>
      </w:tr>
      <w:tr w:rsidR="006D0353">
        <w:trPr>
          <w:trHeight w:val="1"/>
        </w:trPr>
        <w:tc>
          <w:tcPr>
            <w:tcW w:w="2866" w:type="dxa"/>
            <w:tcBorders>
              <w:top w:val="single" w:sz="4" w:space="0" w:color="836967"/>
              <w:left w:val="single" w:sz="4" w:space="0" w:color="836967"/>
              <w:bottom w:val="single" w:sz="4" w:space="0" w:color="836967"/>
              <w:right w:val="single" w:sz="4" w:space="0" w:color="836967"/>
            </w:tcBorders>
          </w:tcPr>
          <w:p w:rsidR="006D0353" w:rsidRPr="006D0353" w:rsidRDefault="006D0353">
            <w:pPr>
              <w:autoSpaceDE w:val="0"/>
              <w:autoSpaceDN w:val="0"/>
              <w:adjustRightInd w:val="0"/>
              <w:rPr>
                <w:rFonts w:ascii="Calibri" w:hAnsi="Calibri" w:cs="Calibri"/>
                <w:sz w:val="22"/>
                <w:szCs w:val="22"/>
                <w:lang w:val="ru-RU"/>
              </w:rPr>
            </w:pPr>
            <w:r>
              <w:rPr>
                <w:rFonts w:ascii="Times New Roman CYR" w:hAnsi="Times New Roman CYR" w:cs="Times New Roman CYR"/>
                <w:i/>
                <w:iCs/>
              </w:rPr>
              <w:t>Обсяг імпорту у % до попереднього року</w:t>
            </w:r>
          </w:p>
        </w:tc>
        <w:tc>
          <w:tcPr>
            <w:tcW w:w="113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w:t>
            </w:r>
          </w:p>
        </w:tc>
        <w:tc>
          <w:tcPr>
            <w:tcW w:w="995"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128,0</w:t>
            </w:r>
          </w:p>
        </w:tc>
        <w:tc>
          <w:tcPr>
            <w:tcW w:w="1212"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109,3</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100,4</w:t>
            </w:r>
          </w:p>
        </w:tc>
        <w:tc>
          <w:tcPr>
            <w:tcW w:w="1026" w:type="dxa"/>
            <w:tcBorders>
              <w:top w:val="single" w:sz="4" w:space="0" w:color="836967"/>
              <w:left w:val="single" w:sz="4" w:space="0" w:color="836967"/>
              <w:bottom w:val="single" w:sz="4" w:space="0" w:color="836967"/>
              <w:right w:val="single" w:sz="4" w:space="0" w:color="836967"/>
            </w:tcBorders>
            <w:vAlign w:val="center"/>
          </w:tcPr>
          <w:p w:rsidR="006D0353" w:rsidRDefault="006D0353">
            <w:pPr>
              <w:autoSpaceDE w:val="0"/>
              <w:autoSpaceDN w:val="0"/>
              <w:adjustRightInd w:val="0"/>
              <w:jc w:val="center"/>
              <w:rPr>
                <w:rFonts w:ascii="Calibri" w:hAnsi="Calibri" w:cs="Calibri"/>
                <w:sz w:val="22"/>
                <w:szCs w:val="22"/>
                <w:lang w:val="en"/>
              </w:rPr>
            </w:pPr>
            <w:r>
              <w:rPr>
                <w:lang w:val="en"/>
              </w:rPr>
              <w:t>100,5</w:t>
            </w:r>
          </w:p>
        </w:tc>
        <w:tc>
          <w:tcPr>
            <w:tcW w:w="1026" w:type="dxa"/>
            <w:tcBorders>
              <w:top w:val="single" w:sz="4" w:space="0" w:color="836967"/>
              <w:left w:val="single" w:sz="4" w:space="0" w:color="836967"/>
              <w:bottom w:val="single" w:sz="4" w:space="0" w:color="836967"/>
              <w:right w:val="single" w:sz="4" w:space="0" w:color="836967"/>
            </w:tcBorders>
          </w:tcPr>
          <w:p w:rsidR="006D0353" w:rsidRDefault="006D0353">
            <w:pPr>
              <w:autoSpaceDE w:val="0"/>
              <w:autoSpaceDN w:val="0"/>
              <w:adjustRightInd w:val="0"/>
              <w:jc w:val="center"/>
              <w:rPr>
                <w:lang w:val="en"/>
              </w:rPr>
            </w:pPr>
          </w:p>
          <w:p w:rsidR="006D0353" w:rsidRDefault="006D0353">
            <w:pPr>
              <w:autoSpaceDE w:val="0"/>
              <w:autoSpaceDN w:val="0"/>
              <w:adjustRightInd w:val="0"/>
              <w:jc w:val="center"/>
              <w:rPr>
                <w:rFonts w:ascii="Calibri" w:hAnsi="Calibri" w:cs="Calibri"/>
                <w:sz w:val="22"/>
                <w:szCs w:val="22"/>
                <w:lang w:val="en"/>
              </w:rPr>
            </w:pPr>
            <w:r>
              <w:rPr>
                <w:lang w:val="en"/>
              </w:rPr>
              <w:t>100,2</w:t>
            </w:r>
          </w:p>
        </w:tc>
      </w:tr>
    </w:tbl>
    <w:p w:rsidR="006D0353" w:rsidRDefault="006D0353" w:rsidP="006D0353">
      <w:pPr>
        <w:autoSpaceDE w:val="0"/>
        <w:autoSpaceDN w:val="0"/>
        <w:adjustRightInd w:val="0"/>
        <w:ind w:firstLine="851"/>
        <w:jc w:val="both"/>
        <w:rPr>
          <w:sz w:val="28"/>
          <w:szCs w:val="28"/>
          <w:lang w:val="en"/>
        </w:rPr>
      </w:pPr>
    </w:p>
    <w:p w:rsidR="006D0353" w:rsidRDefault="006D0353" w:rsidP="006D0353">
      <w:pPr>
        <w:autoSpaceDE w:val="0"/>
        <w:autoSpaceDN w:val="0"/>
        <w:adjustRightInd w:val="0"/>
        <w:ind w:firstLine="851"/>
        <w:rPr>
          <w:sz w:val="28"/>
          <w:szCs w:val="28"/>
          <w:lang w:val="en"/>
        </w:rPr>
      </w:pPr>
    </w:p>
    <w:p w:rsidR="006D0353" w:rsidRDefault="006D0353" w:rsidP="006D0353">
      <w:pPr>
        <w:autoSpaceDE w:val="0"/>
        <w:autoSpaceDN w:val="0"/>
        <w:adjustRightInd w:val="0"/>
        <w:ind w:firstLine="851"/>
        <w:jc w:val="center"/>
        <w:rPr>
          <w:rFonts w:ascii="Times New Roman CYR" w:hAnsi="Times New Roman CYR" w:cs="Times New Roman CYR"/>
          <w:b/>
          <w:bCs/>
          <w:sz w:val="28"/>
          <w:szCs w:val="28"/>
        </w:rPr>
      </w:pPr>
      <w:r>
        <w:rPr>
          <w:rFonts w:ascii="Times New Roman CYR" w:hAnsi="Times New Roman CYR" w:cs="Times New Roman CYR"/>
          <w:b/>
          <w:bCs/>
          <w:sz w:val="28"/>
          <w:szCs w:val="28"/>
        </w:rPr>
        <w:t>ІІІ. Загальні показники бюджету</w:t>
      </w:r>
    </w:p>
    <w:p w:rsidR="006D0353" w:rsidRDefault="006D0353" w:rsidP="006D0353">
      <w:pPr>
        <w:autoSpaceDE w:val="0"/>
        <w:autoSpaceDN w:val="0"/>
        <w:adjustRightInd w:val="0"/>
        <w:ind w:firstLine="851"/>
        <w:jc w:val="center"/>
        <w:rPr>
          <w:b/>
          <w:bCs/>
          <w:sz w:val="28"/>
          <w:szCs w:val="28"/>
          <w:lang w:val="en"/>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Прогноз включає показники районного бюджету за основними видами доходів, видатків, кредитування</w:t>
      </w:r>
      <w:r w:rsidR="00597D7B">
        <w:rPr>
          <w:rFonts w:ascii="Times New Roman CYR" w:hAnsi="Times New Roman CYR" w:cs="Times New Roman CYR"/>
          <w:sz w:val="28"/>
          <w:szCs w:val="28"/>
        </w:rPr>
        <w:t xml:space="preserve"> та фінансування</w:t>
      </w:r>
      <w:r>
        <w:rPr>
          <w:rFonts w:ascii="Times New Roman CYR" w:hAnsi="Times New Roman CYR" w:cs="Times New Roman CYR"/>
          <w:sz w:val="28"/>
          <w:szCs w:val="28"/>
        </w:rPr>
        <w:t>, взаємовідносинами районного бюджету з бюджетами інших рівнів.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При розрахунку показників Луцького районного бюджету на 2022-2024 роки враховано:</w:t>
      </w:r>
    </w:p>
    <w:p w:rsidR="006D0353" w:rsidRDefault="006D0353" w:rsidP="00B019A7">
      <w:pPr>
        <w:autoSpaceDE w:val="0"/>
        <w:autoSpaceDN w:val="0"/>
        <w:adjustRightInd w:val="0"/>
        <w:ind w:firstLine="851"/>
        <w:jc w:val="both"/>
        <w:rPr>
          <w:rFonts w:ascii="Times New Roman CYR" w:hAnsi="Times New Roman CYR" w:cs="Times New Roman CYR"/>
          <w:sz w:val="28"/>
          <w:szCs w:val="28"/>
        </w:rPr>
      </w:pPr>
      <w:r w:rsidRPr="00B019A7">
        <w:rPr>
          <w:sz w:val="28"/>
          <w:szCs w:val="28"/>
        </w:rPr>
        <w:t xml:space="preserve">1. </w:t>
      </w:r>
      <w:r>
        <w:rPr>
          <w:rFonts w:ascii="Times New Roman CYR" w:hAnsi="Times New Roman CYR" w:cs="Times New Roman CYR"/>
          <w:sz w:val="28"/>
          <w:szCs w:val="28"/>
        </w:rPr>
        <w:t>Прогнозні показники економічного і соціального розвитку району,</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підвищення розміру мінімальної заробітної плати, очікуване виконання дохідної частини за 2021 рік.</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2. </w:t>
      </w:r>
      <w:r>
        <w:rPr>
          <w:rFonts w:ascii="Times New Roman CYR" w:hAnsi="Times New Roman CYR" w:cs="Times New Roman CYR"/>
          <w:sz w:val="28"/>
          <w:szCs w:val="28"/>
        </w:rPr>
        <w:t>Норми податкового та бюджетного законодавства.</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3.</w:t>
      </w:r>
      <w:r w:rsidR="00B019A7">
        <w:rPr>
          <w:sz w:val="28"/>
          <w:szCs w:val="28"/>
          <w:lang w:val="ru-RU"/>
        </w:rPr>
        <w:t xml:space="preserve"> </w:t>
      </w:r>
      <w:r>
        <w:rPr>
          <w:rFonts w:ascii="Times New Roman CYR" w:hAnsi="Times New Roman CYR" w:cs="Times New Roman CYR"/>
          <w:sz w:val="28"/>
          <w:szCs w:val="28"/>
        </w:rPr>
        <w:t>Макропоказники визначені з урахуваннями Постанови Кабінету Міністрів</w:t>
      </w:r>
    </w:p>
    <w:p w:rsidR="006D0353" w:rsidRDefault="006D0353" w:rsidP="00B019A7">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України від 31.05.2021 р. № 548 </w:t>
      </w:r>
      <w:r w:rsidR="00B019A7">
        <w:rPr>
          <w:rFonts w:ascii="Times New Roman CYR" w:hAnsi="Times New Roman CYR" w:cs="Times New Roman CYR"/>
          <w:sz w:val="28"/>
          <w:szCs w:val="28"/>
        </w:rPr>
        <w:t>«</w:t>
      </w:r>
      <w:r>
        <w:rPr>
          <w:rFonts w:ascii="Times New Roman CYR" w:hAnsi="Times New Roman CYR" w:cs="Times New Roman CYR"/>
          <w:sz w:val="28"/>
          <w:szCs w:val="28"/>
        </w:rPr>
        <w:t xml:space="preserve">Про схвалення Бюджетної декларації на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2022-2024 роки</w:t>
      </w:r>
      <w:r w:rsidR="00B019A7">
        <w:rPr>
          <w:rFonts w:ascii="Times New Roman CYR" w:hAnsi="Times New Roman CYR" w:cs="Times New Roman CYR"/>
          <w:sz w:val="28"/>
          <w:szCs w:val="28"/>
        </w:rPr>
        <w:t>»</w:t>
      </w:r>
      <w:r>
        <w:rPr>
          <w:rFonts w:ascii="Times New Roman CYR" w:hAnsi="Times New Roman CYR" w:cs="Times New Roman CYR"/>
          <w:sz w:val="28"/>
          <w:szCs w:val="28"/>
        </w:rPr>
        <w:t>, яка передбачає:</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зростання валового внутрішнього продукту у 2022 році – 3,8 відсотка, у 2023 році – 4,7 відсотка, у 2024 році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5,0 відсотків;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номінальний валовий внутрішній продукт у 2022 році – 5 368,8 млрд грн, у 2023 році – 5 993,9 млрд грн, у 2024 році – 6 651,0 млрд грн;</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lastRenderedPageBreak/>
        <w:t xml:space="preserve">- </w:t>
      </w:r>
      <w:r>
        <w:rPr>
          <w:rFonts w:ascii="Times New Roman CYR" w:hAnsi="Times New Roman CYR" w:cs="Times New Roman CYR"/>
          <w:sz w:val="28"/>
          <w:szCs w:val="28"/>
        </w:rPr>
        <w:t>індекс споживчих цін (грудень до грудня попереднього року) становитиме 106,2 відсотків у 2022 році, 105,3 відсотків у 2023 році, 105,0 відсотків у 2024 році;</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індекс цін виробників (грудень до грудня попереднього року) у 2022 році –107,8 відсотків, у 2023 році – 106,2 відсотків; у 2024 році 105,7 відсотків.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rPr>
        <w:t xml:space="preserve">4. </w:t>
      </w:r>
      <w:r>
        <w:rPr>
          <w:rFonts w:ascii="Times New Roman CYR" w:hAnsi="Times New Roman CYR" w:cs="Times New Roman CYR"/>
          <w:sz w:val="28"/>
          <w:szCs w:val="28"/>
        </w:rPr>
        <w:t>Розмір мінімальної заробітної плати з 1 січня 2022 року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6500 грн, з 1 жовтня 2022 року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6700 грн (темп приросту– 3,1 відсотків), з 1 січня 2023 року – 7176 грн (темп приросту – 7,1 відсотків), з 1 січня 2024 року – 7665 грн (темп приросту 6,8 відсотків).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B019A7">
        <w:rPr>
          <w:sz w:val="28"/>
          <w:szCs w:val="28"/>
        </w:rPr>
        <w:t xml:space="preserve">5. </w:t>
      </w:r>
      <w:r>
        <w:rPr>
          <w:rFonts w:ascii="Times New Roman CYR" w:hAnsi="Times New Roman CYR" w:cs="Times New Roman CYR"/>
          <w:sz w:val="28"/>
          <w:szCs w:val="28"/>
        </w:rPr>
        <w:t>Розмір посадового окладу працівника І тарифного розряду Єдиної тарифної</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сітки з 1 січня 2022 року – 2893 грн, з 01 жовтня 2022 року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2982 (темп приросту</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 3,1 відсотка), з 1 січня 2023 року – 3193 грн (темп приросту – 7,1 відсотка), з 1 січня 2024 року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3 411 грн (темп приросту</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- 6,8 відсотка).</w:t>
      </w:r>
    </w:p>
    <w:p w:rsidR="006D0353" w:rsidRDefault="00597D7B" w:rsidP="006D0353">
      <w:pPr>
        <w:autoSpaceDE w:val="0"/>
        <w:autoSpaceDN w:val="0"/>
        <w:adjustRightInd w:val="0"/>
        <w:ind w:firstLine="720"/>
        <w:jc w:val="both"/>
        <w:rPr>
          <w:rFonts w:ascii="Times New Roman CYR" w:hAnsi="Times New Roman CYR" w:cs="Times New Roman CYR"/>
          <w:sz w:val="28"/>
          <w:szCs w:val="28"/>
        </w:rPr>
      </w:pPr>
      <w:r w:rsidRPr="00597D7B">
        <w:rPr>
          <w:rFonts w:ascii="Times New Roman CYR" w:hAnsi="Times New Roman CYR" w:cs="Times New Roman CYR"/>
          <w:sz w:val="28"/>
          <w:szCs w:val="28"/>
        </w:rPr>
        <w:t xml:space="preserve">6. </w:t>
      </w:r>
      <w:r w:rsidR="006D0353" w:rsidRPr="00597D7B">
        <w:rPr>
          <w:rFonts w:ascii="Times New Roman CYR" w:hAnsi="Times New Roman CYR" w:cs="Times New Roman CYR"/>
          <w:sz w:val="28"/>
          <w:szCs w:val="28"/>
        </w:rPr>
        <w:t xml:space="preserve">Загальні показники доходів і фінансування бюджету, повернення кредитів до бюджету, загальні граничні показники видатків бюджету та надання кредитів з бюджету наведені у </w:t>
      </w:r>
      <w:hyperlink r:id="rId7" w:history="1">
        <w:r w:rsidR="006D0353" w:rsidRPr="00A85E7F">
          <w:rPr>
            <w:rFonts w:ascii="Times New Roman CYR" w:hAnsi="Times New Roman CYR" w:cs="Times New Roman CYR"/>
            <w:color w:val="000000" w:themeColor="text1"/>
            <w:sz w:val="28"/>
            <w:szCs w:val="28"/>
            <w:u w:val="single"/>
          </w:rPr>
          <w:t>додатку</w:t>
        </w:r>
        <w:r w:rsidR="006D0353" w:rsidRPr="00597D7B">
          <w:rPr>
            <w:rFonts w:ascii="Times New Roman CYR" w:hAnsi="Times New Roman CYR" w:cs="Times New Roman CYR"/>
            <w:color w:val="0000FF"/>
            <w:sz w:val="28"/>
            <w:szCs w:val="28"/>
            <w:u w:val="single"/>
          </w:rPr>
          <w:t xml:space="preserve"> </w:t>
        </w:r>
      </w:hyperlink>
      <w:r w:rsidR="006D0353" w:rsidRPr="00597D7B">
        <w:rPr>
          <w:sz w:val="28"/>
          <w:szCs w:val="28"/>
          <w:lang w:val="ru-RU"/>
        </w:rPr>
        <w:t>1</w:t>
      </w:r>
      <w:r w:rsidR="006D0353" w:rsidRPr="00597D7B">
        <w:rPr>
          <w:sz w:val="28"/>
          <w:szCs w:val="28"/>
          <w:lang w:val="en"/>
        </w:rPr>
        <w:t> </w:t>
      </w:r>
      <w:r w:rsidR="006D0353" w:rsidRPr="00597D7B">
        <w:rPr>
          <w:rFonts w:ascii="Times New Roman CYR" w:hAnsi="Times New Roman CYR" w:cs="Times New Roman CYR"/>
          <w:sz w:val="28"/>
          <w:szCs w:val="28"/>
        </w:rPr>
        <w:t>до цього Прогнозу.</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center"/>
        <w:rPr>
          <w:rFonts w:ascii="Times New Roman CYR" w:hAnsi="Times New Roman CYR" w:cs="Times New Roman CYR"/>
          <w:b/>
          <w:bCs/>
          <w:sz w:val="28"/>
          <w:szCs w:val="28"/>
        </w:rPr>
      </w:pPr>
      <w:r>
        <w:rPr>
          <w:rFonts w:ascii="Times New Roman CYR" w:hAnsi="Times New Roman CYR" w:cs="Times New Roman CYR"/>
          <w:b/>
          <w:bCs/>
          <w:sz w:val="28"/>
          <w:szCs w:val="28"/>
        </w:rPr>
        <w:t>ІV. Показники доходів бюджету</w:t>
      </w:r>
    </w:p>
    <w:p w:rsidR="006D0353" w:rsidRPr="006D0353" w:rsidRDefault="006D0353" w:rsidP="006D0353">
      <w:pPr>
        <w:autoSpaceDE w:val="0"/>
        <w:autoSpaceDN w:val="0"/>
        <w:adjustRightInd w:val="0"/>
        <w:ind w:firstLine="851"/>
        <w:jc w:val="center"/>
        <w:rPr>
          <w:b/>
          <w:bCs/>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Розрахунок доходів районного бюджету на 2022 рік здійснено з урахуванням тенденцій надходжень платежів у минулих роках, враховуючи основні показники економічного і соціального розвитку Луцького району на середньостроковий період та інформації наданої відділом з питань організації діяльності центру надання адміністративних послуг Луцької райдержадміністрації. </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Дохідна частина загального фонду із врахуванням міжбюджетних трансфертів районного бюджету на 2022 рік сформована в сумі 2046,2 тис.</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грн,  в тому числі: власні доходи складають 777,0 тис. грн, міжбюджетні трансферти -   1269,2 тис. гривень. Власних доходів на 2022 рік заплановано на 93,3 відсотка більше до затвердженого показника  на 2021</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рік, до фактичних надходжень станом на 01.08.2021 року заплановано на 41,9 відсотка менше.</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Власні доходи районного бюджету прогнозуються в сумі 777 тис. грн, в тому числі: плата за розміщення тимчасово вільних коштів місцевих бюджетів прогнозується в сумі 627,0 тис. грн, надходження від орендної плати за користування майновим комплексом та іншим майном, що перебуває в комунальній власності</w:t>
      </w:r>
      <w:r w:rsidR="00594F80">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 сумі 150,0 тис. гривень. </w:t>
      </w:r>
    </w:p>
    <w:p w:rsidR="00565444" w:rsidRDefault="006D0353" w:rsidP="00565444">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Надходження від плати за розміщення тимчасово вільних коштів місцевих бюджетів розраховано:</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вільні </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залишки </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на</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кінець </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2021 </w:t>
      </w:r>
      <w:r w:rsidR="0056544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року очікуються в сумі </w:t>
      </w:r>
    </w:p>
    <w:p w:rsidR="006D0353" w:rsidRDefault="006D0353" w:rsidP="00565444">
      <w:pPr>
        <w:autoSpaceDE w:val="0"/>
        <w:autoSpaceDN w:val="0"/>
        <w:adjustRightInd w:val="0"/>
        <w:ind w:hanging="284"/>
        <w:jc w:val="both"/>
        <w:rPr>
          <w:rFonts w:ascii="Times New Roman CYR" w:hAnsi="Times New Roman CYR" w:cs="Times New Roman CYR"/>
          <w:sz w:val="28"/>
          <w:szCs w:val="28"/>
        </w:rPr>
      </w:pPr>
      <w:r>
        <w:rPr>
          <w:rFonts w:ascii="Times New Roman CYR" w:hAnsi="Times New Roman CYR" w:cs="Times New Roman CYR"/>
          <w:sz w:val="28"/>
          <w:szCs w:val="28"/>
        </w:rPr>
        <w:t xml:space="preserve">   15 000,0 тис. грн, відсоток по депозиту розраховано на рівні 2021 року – 5,9%. Надходження від орендної плати за користування майновим комплексом та іншим майном, що перебуває в комунальній власності прогнозується згідно поданих розрахунків Луцькою районною радою. </w:t>
      </w:r>
    </w:p>
    <w:p w:rsidR="006D0353" w:rsidRDefault="006D0353" w:rsidP="00565444">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Орієнтовні граничні показники доходів загального фонду Луцького районного бюджету на 2023 рік складуть 1472,2 тис. грн, на 2024 рік – 1434,9 тис. гривень.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Показники доходів районного бюджету наведені у додатку 2.</w:t>
      </w:r>
    </w:p>
    <w:p w:rsidR="006D0353" w:rsidRPr="006D0353" w:rsidRDefault="006D0353" w:rsidP="006D0353">
      <w:pPr>
        <w:tabs>
          <w:tab w:val="left" w:pos="709"/>
          <w:tab w:val="left" w:pos="1134"/>
        </w:tabs>
        <w:autoSpaceDE w:val="0"/>
        <w:autoSpaceDN w:val="0"/>
        <w:adjustRightInd w:val="0"/>
        <w:ind w:firstLine="567"/>
        <w:jc w:val="center"/>
        <w:rPr>
          <w:b/>
          <w:bCs/>
          <w:sz w:val="28"/>
          <w:szCs w:val="28"/>
          <w:lang w:val="ru-RU"/>
        </w:rPr>
      </w:pPr>
    </w:p>
    <w:p w:rsidR="006D0353" w:rsidRDefault="006D0353" w:rsidP="006D0353">
      <w:pPr>
        <w:tabs>
          <w:tab w:val="left" w:pos="709"/>
          <w:tab w:val="left" w:pos="1134"/>
        </w:tabs>
        <w:autoSpaceDE w:val="0"/>
        <w:autoSpaceDN w:val="0"/>
        <w:adjustRightInd w:val="0"/>
        <w:ind w:firstLine="567"/>
        <w:jc w:val="center"/>
        <w:rPr>
          <w:rFonts w:ascii="Times New Roman CYR" w:hAnsi="Times New Roman CYR" w:cs="Times New Roman CYR"/>
          <w:b/>
          <w:bCs/>
          <w:sz w:val="28"/>
          <w:szCs w:val="28"/>
        </w:rPr>
      </w:pPr>
      <w:r>
        <w:rPr>
          <w:b/>
          <w:bCs/>
          <w:sz w:val="28"/>
          <w:szCs w:val="28"/>
          <w:lang w:val="en"/>
        </w:rPr>
        <w:t>V</w:t>
      </w:r>
      <w:r w:rsidRPr="006D0353">
        <w:rPr>
          <w:b/>
          <w:bCs/>
          <w:sz w:val="28"/>
          <w:szCs w:val="28"/>
          <w:lang w:val="ru-RU"/>
        </w:rPr>
        <w:t xml:space="preserve">. </w:t>
      </w:r>
      <w:r>
        <w:rPr>
          <w:rFonts w:ascii="Times New Roman CYR" w:hAnsi="Times New Roman CYR" w:cs="Times New Roman CYR"/>
          <w:b/>
          <w:bCs/>
          <w:sz w:val="28"/>
          <w:szCs w:val="28"/>
        </w:rPr>
        <w:t>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та надання місцевих гарантій</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Прогнозом залучення джерел фінансування у 2022, 2023 та 2024 роках передбачається</w:t>
      </w:r>
      <w:r w:rsidR="00B21314">
        <w:rPr>
          <w:rFonts w:ascii="Times New Roman CYR" w:hAnsi="Times New Roman CYR" w:cs="Times New Roman CYR"/>
          <w:sz w:val="28"/>
          <w:szCs w:val="28"/>
        </w:rPr>
        <w:t xml:space="preserve"> збільшення вільних залишків загального фонду районного бюджету на кінець бюджетного періоду за рахунок повернення </w:t>
      </w:r>
      <w:r w:rsidR="00B21314" w:rsidRPr="00AC1624">
        <w:rPr>
          <w:rFonts w:ascii="Times New Roman CYR" w:hAnsi="Times New Roman CYR" w:cs="Times New Roman CYR"/>
          <w:sz w:val="28"/>
          <w:szCs w:val="28"/>
        </w:rPr>
        <w:t xml:space="preserve">поворотної фінансової допомоги наданої КП </w:t>
      </w:r>
      <w:r w:rsidR="00B21314" w:rsidRPr="00AC1624">
        <w:rPr>
          <w:sz w:val="28"/>
          <w:szCs w:val="28"/>
        </w:rPr>
        <w:t>«</w:t>
      </w:r>
      <w:r w:rsidR="00B21314" w:rsidRPr="00AC1624">
        <w:rPr>
          <w:rFonts w:ascii="Times New Roman CYR" w:hAnsi="Times New Roman CYR" w:cs="Times New Roman CYR"/>
          <w:sz w:val="28"/>
          <w:szCs w:val="28"/>
        </w:rPr>
        <w:t>Райтеплобуд</w:t>
      </w:r>
      <w:r w:rsidR="00B21314" w:rsidRPr="00AC1624">
        <w:rPr>
          <w:sz w:val="28"/>
          <w:szCs w:val="28"/>
        </w:rPr>
        <w:t xml:space="preserve">» </w:t>
      </w:r>
      <w:r w:rsidR="00B21314" w:rsidRPr="00AC1624">
        <w:rPr>
          <w:rFonts w:ascii="Times New Roman CYR" w:hAnsi="Times New Roman CYR" w:cs="Times New Roman CYR"/>
          <w:sz w:val="28"/>
          <w:szCs w:val="28"/>
        </w:rPr>
        <w:t>в сумі по 375 тис. грн у 2022, 2023 і 2024 роках</w:t>
      </w:r>
      <w:r w:rsidRPr="00B21314">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B21314">
        <w:rPr>
          <w:rFonts w:ascii="Times New Roman CYR" w:hAnsi="Times New Roman CYR" w:cs="Times New Roman CYR"/>
          <w:sz w:val="28"/>
          <w:szCs w:val="28"/>
        </w:rPr>
        <w:t xml:space="preserve">які збалансовані граничними показниками кредитування бюджету, </w:t>
      </w:r>
      <w:r>
        <w:rPr>
          <w:rFonts w:ascii="Times New Roman CYR" w:hAnsi="Times New Roman CYR" w:cs="Times New Roman CYR"/>
          <w:sz w:val="28"/>
          <w:szCs w:val="28"/>
        </w:rPr>
        <w:t>доходи та видатки збалансовані між собою, видатки на обслуговування місцевого боргу та місцевих гарантій не прогнозуються, оскільки запозичення до районного бюджету та надання гарантій не плануються і на початок 2022 року боргові зобов'язання відсутні (додатки 4, 5 до Прогнозу не складались).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Показники фінансування  районного бюджету наведені у додатку 3.</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center"/>
        <w:rPr>
          <w:rFonts w:ascii="Times New Roman CYR" w:hAnsi="Times New Roman CYR" w:cs="Times New Roman CYR"/>
          <w:b/>
          <w:bCs/>
          <w:sz w:val="28"/>
          <w:szCs w:val="28"/>
        </w:rPr>
      </w:pPr>
      <w:r>
        <w:rPr>
          <w:b/>
          <w:bCs/>
          <w:sz w:val="28"/>
          <w:szCs w:val="28"/>
          <w:lang w:val="en"/>
        </w:rPr>
        <w:t>V</w:t>
      </w:r>
      <w:r>
        <w:rPr>
          <w:rFonts w:ascii="Times New Roman CYR" w:hAnsi="Times New Roman CYR" w:cs="Times New Roman CYR"/>
          <w:b/>
          <w:bCs/>
          <w:sz w:val="28"/>
          <w:szCs w:val="28"/>
        </w:rPr>
        <w:t>І .</w:t>
      </w:r>
      <w:r w:rsidR="00B019A7">
        <w:rPr>
          <w:rFonts w:ascii="Times New Roman CYR" w:hAnsi="Times New Roman CYR" w:cs="Times New Roman CYR"/>
          <w:b/>
          <w:bCs/>
          <w:sz w:val="28"/>
          <w:szCs w:val="28"/>
        </w:rPr>
        <w:t xml:space="preserve"> </w:t>
      </w:r>
      <w:r>
        <w:rPr>
          <w:rFonts w:ascii="Times New Roman CYR" w:hAnsi="Times New Roman CYR" w:cs="Times New Roman CYR"/>
          <w:b/>
          <w:bCs/>
          <w:sz w:val="28"/>
          <w:szCs w:val="28"/>
        </w:rPr>
        <w:t xml:space="preserve">Показники видатків бюджету </w:t>
      </w:r>
    </w:p>
    <w:p w:rsidR="006D0353" w:rsidRPr="006D0353" w:rsidRDefault="006D0353" w:rsidP="006D0353">
      <w:pPr>
        <w:autoSpaceDE w:val="0"/>
        <w:autoSpaceDN w:val="0"/>
        <w:adjustRightInd w:val="0"/>
        <w:ind w:firstLine="851"/>
        <w:jc w:val="center"/>
        <w:rPr>
          <w:b/>
          <w:bCs/>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Основним завданням бюджетної політики на місцевому рівні на </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2022-2024 роки залишатиметься забезпечення стабільності, результативності, стійкості та збалансованості бюджету району, ефективне використання бюджетних коштів в умовах обмеженості бюджетних ресурсів.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Фінансування видатків  районного бюджету, районних цільових програм на період до 2024 року здійснюватиметься в рамках жорсткої економії бюджетних коштів. В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Усього видатки районного бюджету на 2022 рік складають 2</w:t>
      </w:r>
      <w:r w:rsidR="006C3D70">
        <w:rPr>
          <w:rFonts w:ascii="Times New Roman CYR" w:hAnsi="Times New Roman CYR" w:cs="Times New Roman CYR"/>
          <w:sz w:val="28"/>
          <w:szCs w:val="28"/>
        </w:rPr>
        <w:t>046</w:t>
      </w:r>
      <w:r>
        <w:rPr>
          <w:rFonts w:ascii="Times New Roman CYR" w:hAnsi="Times New Roman CYR" w:cs="Times New Roman CYR"/>
          <w:sz w:val="28"/>
          <w:szCs w:val="28"/>
        </w:rPr>
        <w:t>,2 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грн, в тому числі загального фонду – 2</w:t>
      </w:r>
      <w:r w:rsidR="006C3D70">
        <w:rPr>
          <w:rFonts w:ascii="Times New Roman CYR" w:hAnsi="Times New Roman CYR" w:cs="Times New Roman CYR"/>
          <w:sz w:val="28"/>
          <w:szCs w:val="28"/>
        </w:rPr>
        <w:t>046</w:t>
      </w:r>
      <w:r>
        <w:rPr>
          <w:rFonts w:ascii="Times New Roman CYR" w:hAnsi="Times New Roman CYR" w:cs="Times New Roman CYR"/>
          <w:sz w:val="28"/>
          <w:szCs w:val="28"/>
        </w:rPr>
        <w:t>,2</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тис. гривень. </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Видатки районного бюджету на 2022 рік передбачені по головних розпорядниках коштів – районній раді </w:t>
      </w:r>
      <w:r w:rsidR="00B019A7">
        <w:rPr>
          <w:rFonts w:ascii="Times New Roman CYR" w:hAnsi="Times New Roman CYR" w:cs="Times New Roman CYR"/>
          <w:sz w:val="28"/>
          <w:szCs w:val="28"/>
        </w:rPr>
        <w:t>та</w:t>
      </w:r>
      <w:r>
        <w:rPr>
          <w:rFonts w:ascii="Times New Roman CYR" w:hAnsi="Times New Roman CYR" w:cs="Times New Roman CYR"/>
          <w:sz w:val="28"/>
          <w:szCs w:val="28"/>
        </w:rPr>
        <w:t xml:space="preserve"> управлінню соціального захисту населення Луцької райдержадміністрації. </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утримання апарату районної ради заплановано </w:t>
      </w:r>
      <w:r w:rsidR="006C3D70">
        <w:rPr>
          <w:rFonts w:ascii="Times New Roman CYR" w:hAnsi="Times New Roman CYR" w:cs="Times New Roman CYR"/>
          <w:sz w:val="28"/>
          <w:szCs w:val="28"/>
        </w:rPr>
        <w:t>772</w:t>
      </w:r>
      <w:r>
        <w:rPr>
          <w:rFonts w:ascii="Times New Roman CYR" w:hAnsi="Times New Roman CYR" w:cs="Times New Roman CYR"/>
          <w:sz w:val="28"/>
          <w:szCs w:val="28"/>
        </w:rPr>
        <w:t xml:space="preserve">,0 тис. грн коштів загального фонду. Обсяг асигнувань на виплату заробітної плати з нарахуваннями становить </w:t>
      </w:r>
      <w:r w:rsidR="00317E54">
        <w:rPr>
          <w:rFonts w:ascii="Times New Roman CYR" w:hAnsi="Times New Roman CYR" w:cs="Times New Roman CYR"/>
          <w:sz w:val="28"/>
          <w:szCs w:val="28"/>
        </w:rPr>
        <w:t>719,0</w:t>
      </w:r>
      <w:r>
        <w:rPr>
          <w:rFonts w:ascii="Times New Roman CYR" w:hAnsi="Times New Roman CYR" w:cs="Times New Roman CYR"/>
          <w:sz w:val="28"/>
          <w:szCs w:val="28"/>
        </w:rPr>
        <w:t xml:space="preserve"> тис. грн (заробітна плата – </w:t>
      </w:r>
      <w:r w:rsidR="00317E54">
        <w:rPr>
          <w:rFonts w:ascii="Times New Roman CYR" w:hAnsi="Times New Roman CYR" w:cs="Times New Roman CYR"/>
          <w:sz w:val="28"/>
          <w:szCs w:val="28"/>
        </w:rPr>
        <w:t>590,0</w:t>
      </w:r>
      <w:r>
        <w:rPr>
          <w:rFonts w:ascii="Times New Roman CYR" w:hAnsi="Times New Roman CYR" w:cs="Times New Roman CYR"/>
          <w:sz w:val="28"/>
          <w:szCs w:val="28"/>
        </w:rPr>
        <w:t xml:space="preserve"> тис. грн, нарахування на оплату праці – </w:t>
      </w:r>
      <w:r w:rsidR="00317E54">
        <w:rPr>
          <w:rFonts w:ascii="Times New Roman CYR" w:hAnsi="Times New Roman CYR" w:cs="Times New Roman CYR"/>
          <w:sz w:val="28"/>
          <w:szCs w:val="28"/>
        </w:rPr>
        <w:t>129,0</w:t>
      </w:r>
      <w:r>
        <w:rPr>
          <w:rFonts w:ascii="Times New Roman CYR" w:hAnsi="Times New Roman CYR" w:cs="Times New Roman CYR"/>
          <w:sz w:val="28"/>
          <w:szCs w:val="28"/>
        </w:rPr>
        <w:t xml:space="preserve"> тис. грн), на оплату комунальних послуг та енергоносіїв - 53,0 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гривень.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В 2022-2024 роках планується повернення бюджетної позички КП </w:t>
      </w:r>
      <w:r w:rsidRPr="006D0353">
        <w:rPr>
          <w:sz w:val="28"/>
          <w:szCs w:val="28"/>
          <w:lang w:val="ru-RU"/>
        </w:rPr>
        <w:t>«</w:t>
      </w:r>
      <w:r>
        <w:rPr>
          <w:rFonts w:ascii="Times New Roman CYR" w:hAnsi="Times New Roman CYR" w:cs="Times New Roman CYR"/>
          <w:sz w:val="28"/>
          <w:szCs w:val="28"/>
        </w:rPr>
        <w:t>Райтеплобуд</w:t>
      </w:r>
      <w:r w:rsidRPr="006D0353">
        <w:rPr>
          <w:sz w:val="28"/>
          <w:szCs w:val="28"/>
          <w:lang w:val="ru-RU"/>
        </w:rPr>
        <w:t xml:space="preserve">» </w:t>
      </w:r>
      <w:r>
        <w:rPr>
          <w:rFonts w:ascii="Times New Roman CYR" w:hAnsi="Times New Roman CYR" w:cs="Times New Roman CYR"/>
          <w:sz w:val="28"/>
          <w:szCs w:val="28"/>
        </w:rPr>
        <w:t>в сумі 375,0 тис</w:t>
      </w:r>
      <w:r w:rsidR="00565444">
        <w:rPr>
          <w:rFonts w:ascii="Times New Roman CYR" w:hAnsi="Times New Roman CYR" w:cs="Times New Roman CYR"/>
          <w:sz w:val="28"/>
          <w:szCs w:val="28"/>
        </w:rPr>
        <w:t>.</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грн щорічно, загальна сума повернення 1 125,0 тис</w:t>
      </w:r>
      <w:r w:rsidR="00565444">
        <w:rPr>
          <w:rFonts w:ascii="Times New Roman CYR" w:hAnsi="Times New Roman CYR" w:cs="Times New Roman CYR"/>
          <w:sz w:val="28"/>
          <w:szCs w:val="28"/>
        </w:rPr>
        <w:t>.</w:t>
      </w:r>
      <w:r w:rsidR="00B019A7">
        <w:rPr>
          <w:rFonts w:ascii="Times New Roman CYR" w:hAnsi="Times New Roman CYR" w:cs="Times New Roman CYR"/>
          <w:sz w:val="28"/>
          <w:szCs w:val="28"/>
        </w:rPr>
        <w:t xml:space="preserve"> </w:t>
      </w:r>
      <w:r>
        <w:rPr>
          <w:rFonts w:ascii="Times New Roman CYR" w:hAnsi="Times New Roman CYR" w:cs="Times New Roman CYR"/>
          <w:sz w:val="28"/>
          <w:szCs w:val="28"/>
        </w:rPr>
        <w:t>гривень.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Запропонований обсяг бюджетних призначень не дає можливості районній раді в повній мірі врегулювати питання, пов’язані із поточним функціонуванням установи та утримання адмінприміщення. Спрямування коштів вільних залишків районного бюджету, які очікуються на початок 2022 року, дасть можливість в повній мірі забезпечити видатки даного розпорядника коштів.</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управлінню соціального захисту </w:t>
      </w:r>
      <w:r w:rsidR="00B019A7">
        <w:rPr>
          <w:rFonts w:ascii="Times New Roman CYR" w:hAnsi="Times New Roman CYR" w:cs="Times New Roman CYR"/>
          <w:sz w:val="28"/>
          <w:szCs w:val="28"/>
        </w:rPr>
        <w:t>населення</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райдержадміністрації в районному бюджеті на 2022 рік планую</w:t>
      </w:r>
      <w:r w:rsidR="0073761C">
        <w:rPr>
          <w:rFonts w:ascii="Times New Roman CYR" w:hAnsi="Times New Roman CYR" w:cs="Times New Roman CYR"/>
          <w:sz w:val="28"/>
          <w:szCs w:val="28"/>
        </w:rPr>
        <w:t>ться видатки у сумі 1 269,2 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грн коштів загального фонду:</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73761C">
        <w:rPr>
          <w:sz w:val="28"/>
          <w:szCs w:val="28"/>
        </w:rPr>
        <w:t xml:space="preserve"> </w:t>
      </w:r>
      <w:r>
        <w:rPr>
          <w:rFonts w:ascii="Times New Roman CYR" w:hAnsi="Times New Roman CYR" w:cs="Times New Roman CYR"/>
          <w:sz w:val="28"/>
          <w:szCs w:val="28"/>
        </w:rPr>
        <w:t>на поховання учасників бойових дій та осіб з інвалідністю внаслідок війни - 36,6 тис</w:t>
      </w:r>
      <w:r w:rsidR="00565444">
        <w:rPr>
          <w:rFonts w:ascii="Times New Roman CYR" w:hAnsi="Times New Roman CYR" w:cs="Times New Roman CYR"/>
          <w:sz w:val="28"/>
          <w:szCs w:val="28"/>
        </w:rPr>
        <w:t>.</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грн (2021рік - 34,5</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w:t>
      </w:r>
      <w:r w:rsidR="0073761C">
        <w:rPr>
          <w:rFonts w:ascii="Times New Roman CYR" w:hAnsi="Times New Roman CYR" w:cs="Times New Roman CYR"/>
          <w:sz w:val="28"/>
          <w:szCs w:val="28"/>
        </w:rPr>
        <w:t>иве</w:t>
      </w:r>
      <w:r>
        <w:rPr>
          <w:rFonts w:ascii="Times New Roman CYR" w:hAnsi="Times New Roman CYR" w:cs="Times New Roman CYR"/>
          <w:sz w:val="28"/>
          <w:szCs w:val="28"/>
        </w:rPr>
        <w:t>н</w:t>
      </w:r>
      <w:r w:rsidR="0073761C">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на пільгове медичне обслуговування осіб, які постраждали внаслідок Чорнобильської катастрофи - 929,6 тис</w:t>
      </w:r>
      <w:r w:rsidR="00565444">
        <w:rPr>
          <w:rFonts w:ascii="Times New Roman CYR" w:hAnsi="Times New Roman CYR" w:cs="Times New Roman CYR"/>
          <w:sz w:val="28"/>
          <w:szCs w:val="28"/>
        </w:rPr>
        <w:t>.</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грн (2021 рік - 875,3 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w:t>
      </w:r>
      <w:r w:rsidR="0073761C">
        <w:rPr>
          <w:rFonts w:ascii="Times New Roman CYR" w:hAnsi="Times New Roman CYR" w:cs="Times New Roman CYR"/>
          <w:sz w:val="28"/>
          <w:szCs w:val="28"/>
        </w:rPr>
        <w:t>иве</w:t>
      </w:r>
      <w:r>
        <w:rPr>
          <w:rFonts w:ascii="Times New Roman CYR" w:hAnsi="Times New Roman CYR" w:cs="Times New Roman CYR"/>
          <w:sz w:val="28"/>
          <w:szCs w:val="28"/>
        </w:rPr>
        <w:t>н</w:t>
      </w:r>
      <w:r w:rsidR="0073761C">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на компенсаційні виплати особам з інвалідністю на бензин, ремонт, технічне обслуговування автомобілів, мотокалясок і транспортне обслуговування та встановлення телефонів особам з інвалідністю I та II груп – 223 тис</w:t>
      </w:r>
      <w:r w:rsidR="00565444">
        <w:rPr>
          <w:rFonts w:ascii="Times New Roman CYR" w:hAnsi="Times New Roman CYR" w:cs="Times New Roman CYR"/>
          <w:sz w:val="28"/>
          <w:szCs w:val="28"/>
        </w:rPr>
        <w:t>.</w:t>
      </w:r>
      <w:r>
        <w:rPr>
          <w:rFonts w:ascii="Times New Roman CYR" w:hAnsi="Times New Roman CYR" w:cs="Times New Roman CYR"/>
          <w:sz w:val="28"/>
          <w:szCs w:val="28"/>
        </w:rPr>
        <w:t xml:space="preserve"> грн (2021 рік – 210 тис</w:t>
      </w:r>
      <w:r w:rsidR="00565444">
        <w:rPr>
          <w:rFonts w:ascii="Times New Roman CYR" w:hAnsi="Times New Roman CYR" w:cs="Times New Roman CYR"/>
          <w:sz w:val="28"/>
          <w:szCs w:val="28"/>
        </w:rPr>
        <w:t>.</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гр</w:t>
      </w:r>
      <w:r w:rsidR="0073761C">
        <w:rPr>
          <w:rFonts w:ascii="Times New Roman CYR" w:hAnsi="Times New Roman CYR" w:cs="Times New Roman CYR"/>
          <w:sz w:val="28"/>
          <w:szCs w:val="28"/>
        </w:rPr>
        <w:t>иве</w:t>
      </w:r>
      <w:r>
        <w:rPr>
          <w:rFonts w:ascii="Times New Roman CYR" w:hAnsi="Times New Roman CYR" w:cs="Times New Roman CYR"/>
          <w:sz w:val="28"/>
          <w:szCs w:val="28"/>
        </w:rPr>
        <w:t>н</w:t>
      </w:r>
      <w:r w:rsidR="0073761C">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 – 80,0 тис</w:t>
      </w:r>
      <w:r w:rsidR="00565444">
        <w:rPr>
          <w:rFonts w:ascii="Times New Roman CYR" w:hAnsi="Times New Roman CYR" w:cs="Times New Roman CYR"/>
          <w:sz w:val="28"/>
          <w:szCs w:val="28"/>
        </w:rPr>
        <w:t>.</w:t>
      </w:r>
      <w:r w:rsidR="0073761C">
        <w:rPr>
          <w:rFonts w:ascii="Times New Roman CYR" w:hAnsi="Times New Roman CYR" w:cs="Times New Roman CYR"/>
          <w:sz w:val="28"/>
          <w:szCs w:val="28"/>
        </w:rPr>
        <w:t xml:space="preserve"> </w:t>
      </w:r>
      <w:r>
        <w:rPr>
          <w:rFonts w:ascii="Times New Roman CYR" w:hAnsi="Times New Roman CYR" w:cs="Times New Roman CYR"/>
          <w:sz w:val="28"/>
          <w:szCs w:val="28"/>
        </w:rPr>
        <w:t>гривень.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З метою зменшення тимчасових касових розривів, що виникатимуть в процесі виконання районного бюджету пропонується затвердити оборотний залишок бюджетних коштів районного бюджету у сумі 11 тис. гривень. Обсяг оборотного залишку коштів не перевищує граничного розміру у 2 відсотки планових видатків загального фонду, визначеного статтею 14 Бюджетного кодексу України. </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Резервний фонд. Для здійснення заходів з ліквідації наслідків надзвичайних ситуацій та інших непередбачених видатків в районному бюджеті сформовано резервний фонд, обсяг якого становить 5,0 тис. грн і не перевищує одного відсотка від обсягу видатків загального фонду районного бюджету.</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Орієнтовні граничні показники видатків Луцького районного бюджету на 2023 рік складуть 1847,2 тис. грн, на 2024 рік – 1809,9 тис. гривень.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Показники видатків  районного бюджету наведені у додатках:</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6 </w:t>
      </w:r>
      <w:r w:rsidRPr="006D0353">
        <w:rPr>
          <w:sz w:val="28"/>
          <w:szCs w:val="28"/>
          <w:lang w:val="ru-RU"/>
        </w:rPr>
        <w:t>«</w:t>
      </w:r>
      <w:r>
        <w:rPr>
          <w:rFonts w:ascii="Times New Roman CYR" w:hAnsi="Times New Roman CYR" w:cs="Times New Roman CYR"/>
          <w:sz w:val="28"/>
          <w:szCs w:val="28"/>
        </w:rPr>
        <w:t>Граничні показники видатків бюджету та надання кредитів з бюджету головним розпорядникам коштів</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7 </w:t>
      </w:r>
      <w:r w:rsidRPr="006D0353">
        <w:rPr>
          <w:sz w:val="28"/>
          <w:szCs w:val="28"/>
          <w:lang w:val="ru-RU"/>
        </w:rPr>
        <w:t>«</w:t>
      </w:r>
      <w:r>
        <w:rPr>
          <w:rFonts w:ascii="Times New Roman CYR" w:hAnsi="Times New Roman CYR" w:cs="Times New Roman CYR"/>
          <w:sz w:val="28"/>
          <w:szCs w:val="28"/>
        </w:rPr>
        <w:t>Граничні показники видатків бюджету за Типовою програмною класифікацією видатків та кредитування місцевого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8 </w:t>
      </w:r>
      <w:r w:rsidRPr="006D0353">
        <w:rPr>
          <w:sz w:val="28"/>
          <w:szCs w:val="28"/>
          <w:lang w:val="ru-RU"/>
        </w:rPr>
        <w:t>«</w:t>
      </w:r>
      <w:r>
        <w:rPr>
          <w:rFonts w:ascii="Times New Roman CYR" w:hAnsi="Times New Roman CYR" w:cs="Times New Roman CYR"/>
          <w:sz w:val="28"/>
          <w:szCs w:val="28"/>
        </w:rPr>
        <w:t>Граничні показники кредитування бюджету за Типовою програмною класифікацією видатків та кредитування місцевого бюджету</w:t>
      </w:r>
      <w:r w:rsidRPr="006D0353">
        <w:rPr>
          <w:sz w:val="28"/>
          <w:szCs w:val="28"/>
          <w:lang w:val="ru-RU"/>
        </w:rPr>
        <w:t>»</w:t>
      </w:r>
    </w:p>
    <w:p w:rsidR="006D0353" w:rsidRPr="006D0353" w:rsidRDefault="006D0353" w:rsidP="006D0353">
      <w:pPr>
        <w:tabs>
          <w:tab w:val="left" w:pos="709"/>
          <w:tab w:val="left" w:pos="1134"/>
        </w:tabs>
        <w:autoSpaceDE w:val="0"/>
        <w:autoSpaceDN w:val="0"/>
        <w:adjustRightInd w:val="0"/>
        <w:ind w:firstLine="567"/>
        <w:jc w:val="both"/>
        <w:rPr>
          <w:b/>
          <w:bCs/>
          <w:sz w:val="28"/>
          <w:szCs w:val="28"/>
          <w:lang w:val="ru-RU"/>
        </w:rPr>
      </w:pPr>
    </w:p>
    <w:p w:rsidR="006D0353" w:rsidRDefault="006D0353" w:rsidP="006D0353">
      <w:pPr>
        <w:tabs>
          <w:tab w:val="left" w:pos="709"/>
          <w:tab w:val="left" w:pos="1134"/>
        </w:tabs>
        <w:autoSpaceDE w:val="0"/>
        <w:autoSpaceDN w:val="0"/>
        <w:adjustRightInd w:val="0"/>
        <w:ind w:firstLine="567"/>
        <w:jc w:val="center"/>
        <w:rPr>
          <w:rFonts w:ascii="Times New Roman CYR" w:hAnsi="Times New Roman CYR" w:cs="Times New Roman CYR"/>
          <w:b/>
          <w:bCs/>
          <w:sz w:val="28"/>
          <w:szCs w:val="28"/>
        </w:rPr>
      </w:pPr>
      <w:r>
        <w:rPr>
          <w:b/>
          <w:bCs/>
          <w:sz w:val="28"/>
          <w:szCs w:val="28"/>
          <w:lang w:val="en"/>
        </w:rPr>
        <w:lastRenderedPageBreak/>
        <w:t>VI</w:t>
      </w:r>
      <w:r>
        <w:rPr>
          <w:rFonts w:ascii="Times New Roman CYR" w:hAnsi="Times New Roman CYR" w:cs="Times New Roman CYR"/>
          <w:b/>
          <w:bCs/>
          <w:sz w:val="28"/>
          <w:szCs w:val="28"/>
        </w:rPr>
        <w:t>І. Бюджет розвитку</w:t>
      </w:r>
    </w:p>
    <w:p w:rsidR="00964117" w:rsidRDefault="00964117" w:rsidP="006D0353">
      <w:pPr>
        <w:tabs>
          <w:tab w:val="left" w:pos="709"/>
          <w:tab w:val="left" w:pos="1134"/>
        </w:tabs>
        <w:autoSpaceDE w:val="0"/>
        <w:autoSpaceDN w:val="0"/>
        <w:adjustRightInd w:val="0"/>
        <w:ind w:firstLine="567"/>
        <w:jc w:val="center"/>
        <w:rPr>
          <w:rFonts w:ascii="Times New Roman CYR" w:hAnsi="Times New Roman CYR" w:cs="Times New Roman CYR"/>
          <w:b/>
          <w:bCs/>
          <w:sz w:val="28"/>
          <w:szCs w:val="28"/>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Показники бюджету розвитку районного бюджету на капітальні видатки  на 2021, 2022, 2023 та 2024 роки</w:t>
      </w:r>
      <w:r w:rsidR="00565444" w:rsidRPr="00565444">
        <w:rPr>
          <w:rFonts w:ascii="Times New Roman CYR" w:hAnsi="Times New Roman CYR" w:cs="Times New Roman CYR"/>
          <w:sz w:val="28"/>
          <w:szCs w:val="28"/>
        </w:rPr>
        <w:t xml:space="preserve"> </w:t>
      </w:r>
      <w:r w:rsidR="00565444">
        <w:rPr>
          <w:rFonts w:ascii="Times New Roman CYR" w:hAnsi="Times New Roman CYR" w:cs="Times New Roman CYR"/>
          <w:sz w:val="28"/>
          <w:szCs w:val="28"/>
        </w:rPr>
        <w:t>не планувались</w:t>
      </w:r>
      <w:r>
        <w:rPr>
          <w:rFonts w:ascii="Times New Roman CYR" w:hAnsi="Times New Roman CYR" w:cs="Times New Roman CYR"/>
          <w:sz w:val="28"/>
          <w:szCs w:val="28"/>
        </w:rPr>
        <w:t>.</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tabs>
          <w:tab w:val="left" w:pos="993"/>
          <w:tab w:val="left" w:pos="1134"/>
        </w:tabs>
        <w:autoSpaceDE w:val="0"/>
        <w:autoSpaceDN w:val="0"/>
        <w:adjustRightInd w:val="0"/>
        <w:ind w:firstLine="567"/>
        <w:jc w:val="center"/>
        <w:rPr>
          <w:rFonts w:ascii="Times New Roman CYR" w:hAnsi="Times New Roman CYR" w:cs="Times New Roman CYR"/>
          <w:b/>
          <w:bCs/>
          <w:sz w:val="28"/>
          <w:szCs w:val="28"/>
        </w:rPr>
      </w:pPr>
      <w:r>
        <w:rPr>
          <w:b/>
          <w:bCs/>
          <w:sz w:val="28"/>
          <w:szCs w:val="28"/>
          <w:lang w:val="en"/>
        </w:rPr>
        <w:t>VI</w:t>
      </w:r>
      <w:r>
        <w:rPr>
          <w:rFonts w:ascii="Times New Roman CYR" w:hAnsi="Times New Roman CYR" w:cs="Times New Roman CYR"/>
          <w:b/>
          <w:bCs/>
          <w:sz w:val="28"/>
          <w:szCs w:val="28"/>
        </w:rPr>
        <w:t xml:space="preserve">ІI. Взаємовідносини бюджету з іншими бюджетами </w:t>
      </w:r>
    </w:p>
    <w:p w:rsidR="006D0353" w:rsidRPr="006D0353" w:rsidRDefault="006D0353" w:rsidP="006D0353">
      <w:pPr>
        <w:autoSpaceDE w:val="0"/>
        <w:autoSpaceDN w:val="0"/>
        <w:adjustRightInd w:val="0"/>
        <w:ind w:firstLine="851"/>
        <w:jc w:val="center"/>
        <w:rPr>
          <w:b/>
          <w:bCs/>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Обсяг іншої субвенцій районному бюджету на фінансування видатків соціального захисту населення прогнозується: </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2022 році - 1269,2 тис. гр</w:t>
      </w:r>
      <w:r w:rsidR="00565444">
        <w:rPr>
          <w:rFonts w:ascii="Times New Roman CYR" w:hAnsi="Times New Roman CYR" w:cs="Times New Roman CYR"/>
          <w:sz w:val="28"/>
          <w:szCs w:val="28"/>
        </w:rPr>
        <w:t>иве</w:t>
      </w:r>
      <w:r>
        <w:rPr>
          <w:rFonts w:ascii="Times New Roman CYR" w:hAnsi="Times New Roman CYR" w:cs="Times New Roman CYR"/>
          <w:sz w:val="28"/>
          <w:szCs w:val="28"/>
        </w:rPr>
        <w:t>н</w:t>
      </w:r>
      <w:r w:rsidR="00565444">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2023 році - 1272,2 тис. гр</w:t>
      </w:r>
      <w:r w:rsidR="00565444">
        <w:rPr>
          <w:rFonts w:ascii="Times New Roman CYR" w:hAnsi="Times New Roman CYR" w:cs="Times New Roman CYR"/>
          <w:sz w:val="28"/>
          <w:szCs w:val="28"/>
        </w:rPr>
        <w:t>иве</w:t>
      </w:r>
      <w:r>
        <w:rPr>
          <w:rFonts w:ascii="Times New Roman CYR" w:hAnsi="Times New Roman CYR" w:cs="Times New Roman CYR"/>
          <w:sz w:val="28"/>
          <w:szCs w:val="28"/>
        </w:rPr>
        <w:t>н</w:t>
      </w:r>
      <w:r w:rsidR="00565444">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2024 році - 1334,9 тис. гр</w:t>
      </w:r>
      <w:r w:rsidR="00565444">
        <w:rPr>
          <w:rFonts w:ascii="Times New Roman CYR" w:hAnsi="Times New Roman CYR" w:cs="Times New Roman CYR"/>
          <w:sz w:val="28"/>
          <w:szCs w:val="28"/>
        </w:rPr>
        <w:t>иве</w:t>
      </w:r>
      <w:r>
        <w:rPr>
          <w:rFonts w:ascii="Times New Roman CYR" w:hAnsi="Times New Roman CYR" w:cs="Times New Roman CYR"/>
          <w:sz w:val="28"/>
          <w:szCs w:val="28"/>
        </w:rPr>
        <w:t>н</w:t>
      </w:r>
      <w:r w:rsidR="00565444">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тому числі:</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з обласного бюджету:</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5551C1">
        <w:rPr>
          <w:sz w:val="28"/>
          <w:szCs w:val="28"/>
        </w:rPr>
        <w:t xml:space="preserve">- </w:t>
      </w:r>
      <w:r>
        <w:rPr>
          <w:rFonts w:ascii="Times New Roman CYR" w:hAnsi="Times New Roman CYR" w:cs="Times New Roman CYR"/>
          <w:sz w:val="28"/>
          <w:szCs w:val="28"/>
        </w:rPr>
        <w:t>на поховання учасників бойових дій та осіб з інвалідністю внаслідок війни:</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2022 році - 36,6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2023 році - 38,5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2024 році - 40,5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lang w:val="ru-RU"/>
        </w:rPr>
        <w:t xml:space="preserve">- </w:t>
      </w:r>
      <w:r>
        <w:rPr>
          <w:rFonts w:ascii="Times New Roman CYR" w:hAnsi="Times New Roman CYR" w:cs="Times New Roman CYR"/>
          <w:sz w:val="28"/>
          <w:szCs w:val="28"/>
        </w:rPr>
        <w:t>на пільгове медичне обслуговування осіб, які постраждали внаслідок Чорнобильської катастрофи:</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2022 році - 929,6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2023 році - 978,9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2024 році - 1027,8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sidRPr="006D0353">
        <w:rPr>
          <w:sz w:val="28"/>
          <w:szCs w:val="28"/>
        </w:rPr>
        <w:t xml:space="preserve">- </w:t>
      </w:r>
      <w:r>
        <w:rPr>
          <w:rFonts w:ascii="Times New Roman CYR" w:hAnsi="Times New Roman CYR" w:cs="Times New Roman CYR"/>
          <w:sz w:val="28"/>
          <w:szCs w:val="28"/>
        </w:rPr>
        <w:t>на компенсаційні виплати особам з інвалідністю на бензин, ремонт, технічне обслуговування автомобілів, мотокалясок і транспортне обслуговування та встановлення телефонів особам з інвалідністю I та II груп:</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2022 році - 223,0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2023 році - 234,8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2024 році - 246,6тис.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з Боратинської сільської </w:t>
      </w:r>
      <w:r w:rsidR="00964117">
        <w:rPr>
          <w:rFonts w:ascii="Times New Roman CYR" w:hAnsi="Times New Roman CYR" w:cs="Times New Roman CYR"/>
          <w:sz w:val="28"/>
          <w:szCs w:val="28"/>
        </w:rPr>
        <w:t>ради – 70,0 тис. грн, на 2022 рі</w:t>
      </w:r>
      <w:r>
        <w:rPr>
          <w:rFonts w:ascii="Times New Roman CYR" w:hAnsi="Times New Roman CYR" w:cs="Times New Roman CYR"/>
          <w:sz w:val="28"/>
          <w:szCs w:val="28"/>
        </w:rPr>
        <w:t>к 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з Городищенської сільської ради 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2022 році - 10,0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2023 році - 20,0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у 2024 році - 20, тис. гр</w:t>
      </w:r>
      <w:r w:rsidR="00964117">
        <w:rPr>
          <w:rFonts w:ascii="Times New Roman CYR" w:hAnsi="Times New Roman CYR" w:cs="Times New Roman CYR"/>
          <w:sz w:val="28"/>
          <w:szCs w:val="28"/>
        </w:rPr>
        <w:t>иве</w:t>
      </w:r>
      <w:r>
        <w:rPr>
          <w:rFonts w:ascii="Times New Roman CYR" w:hAnsi="Times New Roman CYR" w:cs="Times New Roman CYR"/>
          <w:sz w:val="28"/>
          <w:szCs w:val="28"/>
        </w:rPr>
        <w:t>н</w:t>
      </w:r>
      <w:r w:rsidR="00964117">
        <w:rPr>
          <w:rFonts w:ascii="Times New Roman CYR" w:hAnsi="Times New Roman CYR" w:cs="Times New Roman CYR"/>
          <w:sz w:val="28"/>
          <w:szCs w:val="28"/>
        </w:rPr>
        <w:t>ь</w:t>
      </w:r>
      <w:r>
        <w:rPr>
          <w:rFonts w:ascii="Times New Roman CYR" w:hAnsi="Times New Roman CYR" w:cs="Times New Roman CYR"/>
          <w:sz w:val="28"/>
          <w:szCs w:val="28"/>
        </w:rPr>
        <w:t>.</w:t>
      </w:r>
    </w:p>
    <w:p w:rsidR="006D0353" w:rsidRPr="006D0353" w:rsidRDefault="006D0353" w:rsidP="006D0353">
      <w:pPr>
        <w:autoSpaceDE w:val="0"/>
        <w:autoSpaceDN w:val="0"/>
        <w:adjustRightInd w:val="0"/>
        <w:ind w:firstLine="851"/>
        <w:jc w:val="both"/>
        <w:rPr>
          <w:sz w:val="28"/>
          <w:szCs w:val="28"/>
          <w:lang w:val="ru-RU"/>
        </w:rPr>
      </w:pP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tabs>
          <w:tab w:val="left" w:pos="993"/>
          <w:tab w:val="left" w:pos="1134"/>
        </w:tabs>
        <w:autoSpaceDE w:val="0"/>
        <w:autoSpaceDN w:val="0"/>
        <w:adjustRightInd w:val="0"/>
        <w:ind w:firstLine="567"/>
        <w:jc w:val="center"/>
        <w:rPr>
          <w:rFonts w:ascii="Times New Roman CYR" w:hAnsi="Times New Roman CYR" w:cs="Times New Roman CYR"/>
          <w:b/>
          <w:bCs/>
          <w:sz w:val="28"/>
          <w:szCs w:val="28"/>
        </w:rPr>
      </w:pPr>
      <w:r w:rsidRPr="006D0353">
        <w:rPr>
          <w:lang w:val="ru-RU"/>
        </w:rPr>
        <w:lastRenderedPageBreak/>
        <w:t xml:space="preserve"> </w:t>
      </w:r>
      <w:r>
        <w:rPr>
          <w:b/>
          <w:bCs/>
          <w:sz w:val="28"/>
          <w:szCs w:val="28"/>
          <w:lang w:val="en"/>
        </w:rPr>
        <w:t>IX</w:t>
      </w:r>
      <w:r w:rsidRPr="006D0353">
        <w:rPr>
          <w:b/>
          <w:bCs/>
          <w:sz w:val="28"/>
          <w:szCs w:val="28"/>
          <w:lang w:val="ru-RU"/>
        </w:rPr>
        <w:t xml:space="preserve">. </w:t>
      </w:r>
      <w:r>
        <w:rPr>
          <w:rFonts w:ascii="Times New Roman CYR" w:hAnsi="Times New Roman CYR" w:cs="Times New Roman CYR"/>
          <w:b/>
          <w:bCs/>
          <w:sz w:val="28"/>
          <w:szCs w:val="28"/>
        </w:rPr>
        <w:t xml:space="preserve">Інші положення та показники прогнозу бюджету </w:t>
      </w:r>
    </w:p>
    <w:p w:rsidR="006D0353" w:rsidRPr="006D0353" w:rsidRDefault="006D0353" w:rsidP="006D0353">
      <w:pPr>
        <w:autoSpaceDE w:val="0"/>
        <w:autoSpaceDN w:val="0"/>
        <w:adjustRightInd w:val="0"/>
        <w:ind w:firstLine="851"/>
        <w:jc w:val="center"/>
        <w:rPr>
          <w:b/>
          <w:bCs/>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В прогнозі Луцького районного бюджету  на 2022-2024 роки наявні наступні додатки:</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1 </w:t>
      </w:r>
      <w:r w:rsidRPr="006D0353">
        <w:rPr>
          <w:sz w:val="28"/>
          <w:szCs w:val="28"/>
          <w:lang w:val="ru-RU"/>
        </w:rPr>
        <w:t>«</w:t>
      </w:r>
      <w:r>
        <w:rPr>
          <w:rFonts w:ascii="Times New Roman CYR" w:hAnsi="Times New Roman CYR" w:cs="Times New Roman CYR"/>
          <w:sz w:val="28"/>
          <w:szCs w:val="28"/>
        </w:rPr>
        <w:t>Загальні показники районного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2 </w:t>
      </w:r>
      <w:r w:rsidRPr="006D0353">
        <w:rPr>
          <w:sz w:val="28"/>
          <w:szCs w:val="28"/>
          <w:lang w:val="ru-RU"/>
        </w:rPr>
        <w:t>«</w:t>
      </w:r>
      <w:r>
        <w:rPr>
          <w:rFonts w:ascii="Times New Roman CYR" w:hAnsi="Times New Roman CYR" w:cs="Times New Roman CYR"/>
          <w:sz w:val="28"/>
          <w:szCs w:val="28"/>
        </w:rPr>
        <w:t>Показники доходів районного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3 </w:t>
      </w:r>
      <w:r w:rsidRPr="006D0353">
        <w:rPr>
          <w:sz w:val="28"/>
          <w:szCs w:val="28"/>
          <w:lang w:val="ru-RU"/>
        </w:rPr>
        <w:t>«</w:t>
      </w:r>
      <w:r>
        <w:rPr>
          <w:rFonts w:ascii="Times New Roman CYR" w:hAnsi="Times New Roman CYR" w:cs="Times New Roman CYR"/>
          <w:sz w:val="28"/>
          <w:szCs w:val="28"/>
        </w:rPr>
        <w:t>Показники фінансування районного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6 </w:t>
      </w:r>
      <w:r w:rsidRPr="006D0353">
        <w:rPr>
          <w:sz w:val="28"/>
          <w:szCs w:val="28"/>
          <w:lang w:val="ru-RU"/>
        </w:rPr>
        <w:t>«</w:t>
      </w:r>
      <w:r>
        <w:rPr>
          <w:rFonts w:ascii="Times New Roman CYR" w:hAnsi="Times New Roman CYR" w:cs="Times New Roman CYR"/>
          <w:sz w:val="28"/>
          <w:szCs w:val="28"/>
        </w:rPr>
        <w:t>Граничні показники видатків районного бюджету та надання кредитів з бюджету головним розпорядникам коштів</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7 </w:t>
      </w:r>
      <w:r w:rsidRPr="006D0353">
        <w:rPr>
          <w:sz w:val="28"/>
          <w:szCs w:val="28"/>
          <w:lang w:val="ru-RU"/>
        </w:rPr>
        <w:t>«</w:t>
      </w:r>
      <w:r>
        <w:rPr>
          <w:rFonts w:ascii="Times New Roman CYR" w:hAnsi="Times New Roman CYR" w:cs="Times New Roman CYR"/>
          <w:sz w:val="28"/>
          <w:szCs w:val="28"/>
        </w:rPr>
        <w:t>Граничні показники видатків районного бюджету за Типовою програмною класифікацією видатків та кредитування місцевого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8 </w:t>
      </w:r>
      <w:r w:rsidRPr="006D0353">
        <w:rPr>
          <w:sz w:val="28"/>
          <w:szCs w:val="28"/>
          <w:lang w:val="ru-RU"/>
        </w:rPr>
        <w:t>«</w:t>
      </w:r>
      <w:r>
        <w:rPr>
          <w:rFonts w:ascii="Times New Roman CYR" w:hAnsi="Times New Roman CYR" w:cs="Times New Roman CYR"/>
          <w:sz w:val="28"/>
          <w:szCs w:val="28"/>
        </w:rPr>
        <w:t>Граничні показники кредитування районного бюджету за Типовою програмною класифікацією видатків та кредитування місцевого бюджету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9 </w:t>
      </w:r>
      <w:r w:rsidRPr="006D0353">
        <w:rPr>
          <w:sz w:val="28"/>
          <w:szCs w:val="28"/>
          <w:lang w:val="ru-RU"/>
        </w:rPr>
        <w:t>«</w:t>
      </w:r>
      <w:r>
        <w:rPr>
          <w:rFonts w:ascii="Times New Roman CYR" w:hAnsi="Times New Roman CYR" w:cs="Times New Roman CYR"/>
          <w:sz w:val="28"/>
          <w:szCs w:val="28"/>
        </w:rPr>
        <w:t>Показники бюджету розвитку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11 </w:t>
      </w:r>
      <w:r w:rsidRPr="006D0353">
        <w:rPr>
          <w:sz w:val="28"/>
          <w:szCs w:val="28"/>
          <w:lang w:val="ru-RU"/>
        </w:rPr>
        <w:t>«</w:t>
      </w:r>
      <w:r>
        <w:rPr>
          <w:rFonts w:ascii="Times New Roman CYR" w:hAnsi="Times New Roman CYR" w:cs="Times New Roman CYR"/>
          <w:sz w:val="28"/>
          <w:szCs w:val="28"/>
        </w:rPr>
        <w:t>Показники міжбюджетних трансфертів з інших бюджетів</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12 </w:t>
      </w:r>
      <w:r w:rsidRPr="006D0353">
        <w:rPr>
          <w:sz w:val="28"/>
          <w:szCs w:val="28"/>
          <w:lang w:val="ru-RU"/>
        </w:rPr>
        <w:t>«</w:t>
      </w:r>
      <w:r>
        <w:rPr>
          <w:rFonts w:ascii="Times New Roman CYR" w:hAnsi="Times New Roman CYR" w:cs="Times New Roman CYR"/>
          <w:sz w:val="28"/>
          <w:szCs w:val="28"/>
        </w:rPr>
        <w:t>Показники міжбюджетних трансфертів іншим бюджетам</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p>
    <w:p w:rsidR="006D0353" w:rsidRDefault="006D0353" w:rsidP="006D0353">
      <w:pPr>
        <w:autoSpaceDE w:val="0"/>
        <w:autoSpaceDN w:val="0"/>
        <w:adjustRightInd w:val="0"/>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Не складались:</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4 </w:t>
      </w:r>
      <w:r w:rsidRPr="006D0353">
        <w:rPr>
          <w:sz w:val="28"/>
          <w:szCs w:val="28"/>
          <w:lang w:val="ru-RU"/>
        </w:rPr>
        <w:t>«</w:t>
      </w:r>
      <w:r>
        <w:rPr>
          <w:rFonts w:ascii="Times New Roman CYR" w:hAnsi="Times New Roman CYR" w:cs="Times New Roman CYR"/>
          <w:sz w:val="28"/>
          <w:szCs w:val="28"/>
        </w:rPr>
        <w:t>Показники місцевого боргу</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5 </w:t>
      </w:r>
      <w:r w:rsidRPr="006D0353">
        <w:rPr>
          <w:sz w:val="28"/>
          <w:szCs w:val="28"/>
          <w:lang w:val="ru-RU"/>
        </w:rPr>
        <w:t>«</w:t>
      </w:r>
      <w:r>
        <w:rPr>
          <w:rFonts w:ascii="Times New Roman CYR" w:hAnsi="Times New Roman CYR" w:cs="Times New Roman CYR"/>
          <w:sz w:val="28"/>
          <w:szCs w:val="28"/>
        </w:rPr>
        <w:t>Показники гарантованого Автономною Республікою Крим, обласною радою чи територіальною громадою міста боргу і надання місцевих гарантій</w:t>
      </w:r>
      <w:r w:rsidRPr="006D0353">
        <w:rPr>
          <w:sz w:val="28"/>
          <w:szCs w:val="28"/>
          <w:lang w:val="ru-RU"/>
        </w:rPr>
        <w:t>»;</w:t>
      </w:r>
    </w:p>
    <w:p w:rsidR="006D0353" w:rsidRPr="006D0353" w:rsidRDefault="006D0353" w:rsidP="006D0353">
      <w:pPr>
        <w:autoSpaceDE w:val="0"/>
        <w:autoSpaceDN w:val="0"/>
        <w:adjustRightInd w:val="0"/>
        <w:ind w:firstLine="851"/>
        <w:jc w:val="both"/>
        <w:rPr>
          <w:sz w:val="28"/>
          <w:szCs w:val="28"/>
          <w:lang w:val="ru-RU"/>
        </w:rPr>
      </w:pPr>
      <w:r>
        <w:rPr>
          <w:rFonts w:ascii="Times New Roman CYR" w:hAnsi="Times New Roman CYR" w:cs="Times New Roman CYR"/>
          <w:sz w:val="28"/>
          <w:szCs w:val="28"/>
        </w:rPr>
        <w:t xml:space="preserve">додаток 10 </w:t>
      </w:r>
      <w:r w:rsidRPr="006D0353">
        <w:rPr>
          <w:sz w:val="28"/>
          <w:szCs w:val="28"/>
          <w:lang w:val="ru-RU"/>
        </w:rPr>
        <w:t>«</w:t>
      </w:r>
      <w:r>
        <w:rPr>
          <w:rFonts w:ascii="Times New Roman CYR" w:hAnsi="Times New Roman CYR" w:cs="Times New Roman CYR"/>
          <w:sz w:val="28"/>
          <w:szCs w:val="28"/>
        </w:rPr>
        <w:t>Обсяги капітальних вкладень місцевого бюджету у розрізі інвестиційних проектів</w:t>
      </w:r>
      <w:r w:rsidRPr="006D0353">
        <w:rPr>
          <w:sz w:val="28"/>
          <w:szCs w:val="28"/>
          <w:lang w:val="ru-RU"/>
        </w:rPr>
        <w:t xml:space="preserve">» </w:t>
      </w:r>
    </w:p>
    <w:p w:rsidR="006D0353" w:rsidRDefault="006D0353" w:rsidP="00964117">
      <w:pPr>
        <w:autoSpaceDE w:val="0"/>
        <w:autoSpaceDN w:val="0"/>
        <w:adjustRightInd w:val="0"/>
        <w:jc w:val="both"/>
        <w:rPr>
          <w:sz w:val="28"/>
          <w:szCs w:val="28"/>
          <w:lang w:val="ru-RU"/>
        </w:rPr>
      </w:pPr>
    </w:p>
    <w:p w:rsidR="00964117" w:rsidRPr="006D0353" w:rsidRDefault="00964117" w:rsidP="00964117">
      <w:pPr>
        <w:autoSpaceDE w:val="0"/>
        <w:autoSpaceDN w:val="0"/>
        <w:adjustRightInd w:val="0"/>
        <w:jc w:val="center"/>
        <w:rPr>
          <w:sz w:val="28"/>
          <w:szCs w:val="28"/>
          <w:lang w:val="ru-RU"/>
        </w:rPr>
      </w:pPr>
      <w:r>
        <w:rPr>
          <w:sz w:val="28"/>
          <w:szCs w:val="28"/>
          <w:lang w:val="ru-RU"/>
        </w:rPr>
        <w:t>___________________________________________</w:t>
      </w:r>
    </w:p>
    <w:sectPr w:rsidR="00964117" w:rsidRPr="006D0353" w:rsidSect="00212267">
      <w:headerReference w:type="default" r:id="rId8"/>
      <w:pgSz w:w="12240" w:h="15840"/>
      <w:pgMar w:top="567" w:right="567" w:bottom="1134" w:left="1701" w:header="567" w:footer="737" w:gutter="0"/>
      <w:pgNumType w:start="1" w:chapStyle="2"/>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3F6" w:rsidRDefault="00E773F6" w:rsidP="006D0353">
      <w:r>
        <w:separator/>
      </w:r>
    </w:p>
  </w:endnote>
  <w:endnote w:type="continuationSeparator" w:id="0">
    <w:p w:rsidR="00E773F6" w:rsidRDefault="00E773F6" w:rsidP="006D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3F6" w:rsidRDefault="00E773F6" w:rsidP="006D0353">
      <w:r>
        <w:separator/>
      </w:r>
    </w:p>
  </w:footnote>
  <w:footnote w:type="continuationSeparator" w:id="0">
    <w:p w:rsidR="00E773F6" w:rsidRDefault="00E773F6" w:rsidP="006D03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446164"/>
      <w:docPartObj>
        <w:docPartGallery w:val="Page Numbers (Top of Page)"/>
        <w:docPartUnique/>
      </w:docPartObj>
    </w:sdtPr>
    <w:sdtEndPr>
      <w:rPr>
        <w:sz w:val="28"/>
        <w:szCs w:val="28"/>
      </w:rPr>
    </w:sdtEndPr>
    <w:sdtContent>
      <w:p w:rsidR="006C3D70" w:rsidRPr="00ED1E54" w:rsidRDefault="006C3D70">
        <w:pPr>
          <w:pStyle w:val="a3"/>
          <w:jc w:val="center"/>
          <w:rPr>
            <w:sz w:val="28"/>
            <w:szCs w:val="28"/>
          </w:rPr>
        </w:pPr>
        <w:r w:rsidRPr="00ED1E54">
          <w:rPr>
            <w:sz w:val="28"/>
            <w:szCs w:val="28"/>
          </w:rPr>
          <w:fldChar w:fldCharType="begin"/>
        </w:r>
        <w:r w:rsidRPr="00ED1E54">
          <w:rPr>
            <w:sz w:val="28"/>
            <w:szCs w:val="28"/>
          </w:rPr>
          <w:instrText>PAGE   \* MERGEFORMAT</w:instrText>
        </w:r>
        <w:r w:rsidRPr="00ED1E54">
          <w:rPr>
            <w:sz w:val="28"/>
            <w:szCs w:val="28"/>
          </w:rPr>
          <w:fldChar w:fldCharType="separate"/>
        </w:r>
        <w:r w:rsidR="001A15B2" w:rsidRPr="001A15B2">
          <w:rPr>
            <w:noProof/>
            <w:sz w:val="28"/>
            <w:szCs w:val="28"/>
            <w:lang w:val="ru-RU"/>
          </w:rPr>
          <w:t>11</w:t>
        </w:r>
        <w:r w:rsidRPr="00ED1E54">
          <w:rPr>
            <w:sz w:val="28"/>
            <w:szCs w:val="28"/>
          </w:rPr>
          <w:fldChar w:fldCharType="end"/>
        </w:r>
      </w:p>
    </w:sdtContent>
  </w:sdt>
  <w:p w:rsidR="006C3D70" w:rsidRDefault="006C3D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53"/>
    <w:rsid w:val="000D5421"/>
    <w:rsid w:val="00167BA1"/>
    <w:rsid w:val="001A15B2"/>
    <w:rsid w:val="00212267"/>
    <w:rsid w:val="002A23FF"/>
    <w:rsid w:val="00317E54"/>
    <w:rsid w:val="00327BF3"/>
    <w:rsid w:val="0037131C"/>
    <w:rsid w:val="005551C1"/>
    <w:rsid w:val="00565444"/>
    <w:rsid w:val="00594F80"/>
    <w:rsid w:val="00597D7B"/>
    <w:rsid w:val="006B7214"/>
    <w:rsid w:val="006C3D70"/>
    <w:rsid w:val="006D0353"/>
    <w:rsid w:val="0073761C"/>
    <w:rsid w:val="00780B11"/>
    <w:rsid w:val="00894F5D"/>
    <w:rsid w:val="00964117"/>
    <w:rsid w:val="00976E80"/>
    <w:rsid w:val="00A85E7F"/>
    <w:rsid w:val="00AC5227"/>
    <w:rsid w:val="00AD12B8"/>
    <w:rsid w:val="00B019A7"/>
    <w:rsid w:val="00B123DA"/>
    <w:rsid w:val="00B21314"/>
    <w:rsid w:val="00D2607A"/>
    <w:rsid w:val="00E313C9"/>
    <w:rsid w:val="00E773F6"/>
    <w:rsid w:val="00ED1E54"/>
    <w:rsid w:val="00F46672"/>
    <w:rsid w:val="00F843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A64666"/>
  <w15:docId w15:val="{8993E0C1-3F8F-44A7-9293-2E2FB2CB4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3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0353"/>
    <w:pPr>
      <w:tabs>
        <w:tab w:val="center" w:pos="4819"/>
        <w:tab w:val="right" w:pos="9639"/>
      </w:tabs>
    </w:pPr>
  </w:style>
  <w:style w:type="character" w:customStyle="1" w:styleId="a4">
    <w:name w:val="Верхний колонтитул Знак"/>
    <w:basedOn w:val="a0"/>
    <w:link w:val="a3"/>
    <w:uiPriority w:val="99"/>
    <w:rsid w:val="006D0353"/>
    <w:rPr>
      <w:sz w:val="24"/>
      <w:szCs w:val="24"/>
    </w:rPr>
  </w:style>
  <w:style w:type="paragraph" w:styleId="a5">
    <w:name w:val="footer"/>
    <w:basedOn w:val="a"/>
    <w:link w:val="a6"/>
    <w:rsid w:val="006D0353"/>
    <w:pPr>
      <w:tabs>
        <w:tab w:val="center" w:pos="4819"/>
        <w:tab w:val="right" w:pos="9639"/>
      </w:tabs>
    </w:pPr>
  </w:style>
  <w:style w:type="character" w:customStyle="1" w:styleId="a6">
    <w:name w:val="Нижний колонтитул Знак"/>
    <w:basedOn w:val="a0"/>
    <w:link w:val="a5"/>
    <w:rsid w:val="006D0353"/>
    <w:rPr>
      <w:sz w:val="24"/>
      <w:szCs w:val="24"/>
    </w:rPr>
  </w:style>
  <w:style w:type="paragraph" w:styleId="a7">
    <w:name w:val="Balloon Text"/>
    <w:basedOn w:val="a"/>
    <w:link w:val="a8"/>
    <w:rsid w:val="005551C1"/>
    <w:rPr>
      <w:rFonts w:ascii="Tahoma" w:hAnsi="Tahoma" w:cs="Tahoma"/>
      <w:sz w:val="16"/>
      <w:szCs w:val="16"/>
    </w:rPr>
  </w:style>
  <w:style w:type="character" w:customStyle="1" w:styleId="a8">
    <w:name w:val="Текст выноски Знак"/>
    <w:basedOn w:val="a0"/>
    <w:link w:val="a7"/>
    <w:rsid w:val="005551C1"/>
    <w:rPr>
      <w:rFonts w:ascii="Tahoma" w:hAnsi="Tahoma" w:cs="Tahoma"/>
      <w:sz w:val="16"/>
      <w:szCs w:val="16"/>
    </w:rPr>
  </w:style>
  <w:style w:type="paragraph" w:customStyle="1" w:styleId="a9">
    <w:name w:val="Знак Знак Знак Знак Знак Знак Знак Знак Знак Знак Знак Знак Знак Знак"/>
    <w:basedOn w:val="a"/>
    <w:rsid w:val="00B21314"/>
    <w:rPr>
      <w:rFonts w:ascii="Verdana" w:eastAsia="MS Mincho"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z0953-1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30F27-C703-48CD-90E4-41680393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14091</Words>
  <Characters>8033</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СИМЧУК</cp:lastModifiedBy>
  <cp:revision>12</cp:revision>
  <cp:lastPrinted>2021-08-19T06:40:00Z</cp:lastPrinted>
  <dcterms:created xsi:type="dcterms:W3CDTF">2021-08-17T09:52:00Z</dcterms:created>
  <dcterms:modified xsi:type="dcterms:W3CDTF">2021-08-20T09:00:00Z</dcterms:modified>
</cp:coreProperties>
</file>