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74" w:rsidRDefault="00A13474" w:rsidP="00A13474">
      <w:pPr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474" w:rsidRPr="00B62092" w:rsidRDefault="00A13474" w:rsidP="00A13474">
      <w:pPr>
        <w:ind w:firstLine="709"/>
        <w:rPr>
          <w:b/>
          <w:bCs/>
          <w:spacing w:val="8"/>
          <w:sz w:val="16"/>
        </w:rPr>
      </w:pPr>
    </w:p>
    <w:p w:rsidR="00A13474" w:rsidRDefault="00A13474" w:rsidP="00A13474">
      <w:pPr>
        <w:pStyle w:val="2"/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>ЛУЦЬКА РАЙОННА</w:t>
      </w:r>
      <w:r w:rsidRPr="00E1110B">
        <w:rPr>
          <w:spacing w:val="14"/>
          <w:sz w:val="28"/>
          <w:szCs w:val="28"/>
        </w:rPr>
        <w:t xml:space="preserve"> ДЕРЖАВНА АДМІНІСТРАЦІЯ</w:t>
      </w:r>
    </w:p>
    <w:p w:rsidR="00A13474" w:rsidRPr="00E1110B" w:rsidRDefault="00A13474" w:rsidP="00A13474">
      <w:pPr>
        <w:pStyle w:val="2"/>
        <w:rPr>
          <w:spacing w:val="14"/>
          <w:sz w:val="28"/>
          <w:szCs w:val="28"/>
          <w:lang w:val="ru-RU"/>
        </w:rPr>
      </w:pPr>
      <w:r>
        <w:rPr>
          <w:spacing w:val="14"/>
          <w:sz w:val="28"/>
          <w:szCs w:val="28"/>
        </w:rPr>
        <w:t>ВОЛИНСЬКОЇ ОБЛАСТІ</w:t>
      </w:r>
    </w:p>
    <w:p w:rsidR="00A13474" w:rsidRPr="00E1110B" w:rsidRDefault="00A13474" w:rsidP="00A13474">
      <w:pPr>
        <w:ind w:firstLine="709"/>
        <w:rPr>
          <w:sz w:val="28"/>
          <w:szCs w:val="28"/>
          <w:lang w:val="ru-RU"/>
        </w:rPr>
      </w:pPr>
    </w:p>
    <w:p w:rsidR="00A13474" w:rsidRPr="00E1110B" w:rsidRDefault="00A13474" w:rsidP="00A13474">
      <w:pPr>
        <w:pStyle w:val="2"/>
        <w:rPr>
          <w:szCs w:val="32"/>
        </w:rPr>
      </w:pPr>
      <w:r w:rsidRPr="00E1110B">
        <w:rPr>
          <w:szCs w:val="32"/>
        </w:rPr>
        <w:t>РОЗПОРЯДЖЕННЯ</w:t>
      </w:r>
    </w:p>
    <w:p w:rsidR="00A13474" w:rsidRDefault="00A13474" w:rsidP="00A13474"/>
    <w:p w:rsidR="00833FE7" w:rsidRPr="00513F98" w:rsidRDefault="00833FE7" w:rsidP="00833FE7">
      <w:pPr>
        <w:jc w:val="center"/>
        <w:rPr>
          <w:lang w:val="ru-RU"/>
        </w:rPr>
      </w:pPr>
    </w:p>
    <w:p w:rsidR="00833FE7" w:rsidRDefault="00FE5B18" w:rsidP="00833FE7">
      <w:pPr>
        <w:rPr>
          <w:sz w:val="28"/>
        </w:rPr>
      </w:pPr>
      <w:r w:rsidRPr="00FE5B18">
        <w:rPr>
          <w:noProof/>
          <w:sz w:val="20"/>
          <w:lang w:eastAsia="uk-UA"/>
        </w:rPr>
        <w:pict>
          <v:line id="Прямая соединительная линия 2" o:spid="_x0000_s1026" style="position:absolute;z-index:251659264;visibility:visible" from="180pt,8pt" to="180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"/>
        </w:pict>
      </w:r>
      <w:r w:rsidR="0035236B">
        <w:rPr>
          <w:sz w:val="28"/>
        </w:rPr>
        <w:t>08</w:t>
      </w:r>
      <w:r w:rsidR="00833FE7">
        <w:rPr>
          <w:sz w:val="28"/>
        </w:rPr>
        <w:t xml:space="preserve"> серпня 2014 року                         м.Луцьк                                            </w:t>
      </w:r>
      <w:r w:rsidR="008B55A4">
        <w:rPr>
          <w:sz w:val="28"/>
        </w:rPr>
        <w:t>№</w:t>
      </w:r>
      <w:r w:rsidR="0035236B">
        <w:rPr>
          <w:sz w:val="28"/>
        </w:rPr>
        <w:t>262</w:t>
      </w:r>
      <w:bookmarkStart w:id="0" w:name="_GoBack"/>
      <w:bookmarkEnd w:id="0"/>
    </w:p>
    <w:p w:rsidR="00833FE7" w:rsidRPr="00513F98" w:rsidRDefault="00833FE7" w:rsidP="00833FE7">
      <w:pPr>
        <w:rPr>
          <w:sz w:val="20"/>
          <w:szCs w:val="20"/>
        </w:rPr>
      </w:pPr>
    </w:p>
    <w:p w:rsidR="00833FE7" w:rsidRDefault="00833FE7" w:rsidP="00833FE7">
      <w:pPr>
        <w:pStyle w:val="6"/>
      </w:pPr>
      <w:r>
        <w:t xml:space="preserve">Про проведення часткової мобілізації </w:t>
      </w:r>
    </w:p>
    <w:p w:rsidR="00833FE7" w:rsidRDefault="00833FE7" w:rsidP="00833FE7">
      <w:pPr>
        <w:pStyle w:val="6"/>
      </w:pPr>
      <w:r>
        <w:t xml:space="preserve">на території </w:t>
      </w:r>
      <w:r w:rsidR="008B55A4">
        <w:t>району</w:t>
      </w:r>
    </w:p>
    <w:p w:rsidR="00833FE7" w:rsidRPr="00513F98" w:rsidRDefault="00833FE7" w:rsidP="00833FE7">
      <w:pPr>
        <w:rPr>
          <w:sz w:val="20"/>
          <w:szCs w:val="20"/>
        </w:rPr>
      </w:pPr>
    </w:p>
    <w:p w:rsidR="00833FE7" w:rsidRDefault="00833FE7" w:rsidP="00833FE7">
      <w:pPr>
        <w:pStyle w:val="21"/>
        <w:jc w:val="both"/>
      </w:pPr>
      <w:r>
        <w:t xml:space="preserve">Відповідно до статей 17, 18 Закону України </w:t>
      </w:r>
      <w:r w:rsidRPr="00641064">
        <w:t>«</w:t>
      </w:r>
      <w:r>
        <w:t>Про мобілізаційну підготовку та мобілізацію</w:t>
      </w:r>
      <w:r w:rsidRPr="00641064">
        <w:t xml:space="preserve">», </w:t>
      </w:r>
      <w:r>
        <w:t>на виконання Указу Президента України</w:t>
      </w:r>
      <w:r>
        <w:br/>
        <w:t xml:space="preserve">від 21 липня 2014року № 607/2014 </w:t>
      </w:r>
      <w:r w:rsidRPr="00641064">
        <w:t>«</w:t>
      </w:r>
      <w:r>
        <w:t>Про часткову мобілізацію</w:t>
      </w:r>
      <w:r w:rsidRPr="00641064">
        <w:t xml:space="preserve">», </w:t>
      </w:r>
      <w:r w:rsidR="008B55A4">
        <w:t xml:space="preserve">розпорядження голови обласної державної адміністрації від 1 серпня 2014 року №279 «Про проведення часткової мобілізації на території області», </w:t>
      </w:r>
      <w:r w:rsidRPr="00641064">
        <w:t>у</w:t>
      </w:r>
      <w:r>
        <w:t xml:space="preserve"> зв’язку з поширенням терористичних дій, що вчиняються у східних областях України незаконно створеними збройними формуваннями проросійського спрямування, які користуються підтримкою військових підрозділів збройних сил</w:t>
      </w:r>
      <w:r>
        <w:br/>
        <w:t>Російської Федерації, поглибленням соціальної напруги на цій території, що призводить до ще більшого ускладнення внутрішньополітичної ситуації, а також загрозою територіальній цілісності та незалежності держави:</w:t>
      </w:r>
    </w:p>
    <w:p w:rsidR="00833FE7" w:rsidRPr="00641064" w:rsidRDefault="00833FE7" w:rsidP="00833FE7">
      <w:pPr>
        <w:pStyle w:val="21"/>
        <w:jc w:val="both"/>
      </w:pPr>
      <w:r>
        <w:t>1. ЗОБОВ</w:t>
      </w:r>
      <w:r w:rsidRPr="00641064">
        <w:t>’ЯЗУЮ:</w:t>
      </w:r>
    </w:p>
    <w:p w:rsidR="00833FE7" w:rsidRDefault="00143C40" w:rsidP="00833FE7">
      <w:pPr>
        <w:pStyle w:val="21"/>
        <w:jc w:val="both"/>
      </w:pPr>
      <w:r>
        <w:t>1</w:t>
      </w:r>
      <w:r w:rsidR="00833FE7">
        <w:t>) </w:t>
      </w:r>
      <w:r w:rsidR="00BC5583">
        <w:t>відділ</w:t>
      </w:r>
      <w:r w:rsidR="00833FE7">
        <w:t xml:space="preserve"> інформаційної діяльності</w:t>
      </w:r>
      <w:r w:rsidR="00BC5583">
        <w:t>, інформаційних технологій</w:t>
      </w:r>
      <w:r w:rsidR="00AD386C">
        <w:t>та</w:t>
      </w:r>
      <w:r w:rsidR="00115EF5">
        <w:t xml:space="preserve"> комунікацій з громадськістю</w:t>
      </w:r>
      <w:r w:rsidR="00453D0C">
        <w:t xml:space="preserve"> апарату райдержадміністрації (</w:t>
      </w:r>
      <w:r w:rsidR="00AD386C">
        <w:t>Тирилюк</w:t>
      </w:r>
      <w:r w:rsidR="00115EF5">
        <w:t xml:space="preserve"> Т.О.</w:t>
      </w:r>
      <w:r w:rsidR="00453D0C">
        <w:t xml:space="preserve">) </w:t>
      </w:r>
      <w:r w:rsidR="00833FE7">
        <w:t>розгорнути просвітницько-інформаційну компанію з метою формування лояльного ставлення у суспільстві до третьої хвилі часткової мобілізації, а саме:</w:t>
      </w:r>
    </w:p>
    <w:p w:rsidR="00833FE7" w:rsidRDefault="00453D0C" w:rsidP="00833FE7">
      <w:pPr>
        <w:pStyle w:val="21"/>
        <w:jc w:val="both"/>
      </w:pPr>
      <w:r>
        <w:t>˗</w:t>
      </w:r>
      <w:r w:rsidR="00833FE7">
        <w:t xml:space="preserve"> розробити та поширити </w:t>
      </w:r>
      <w:r w:rsidR="00526DB6">
        <w:t xml:space="preserve">в </w:t>
      </w:r>
      <w:r w:rsidR="00BC5583">
        <w:t>засобах масової інформації</w:t>
      </w:r>
      <w:r w:rsidR="00526DB6">
        <w:t>,</w:t>
      </w:r>
      <w:r w:rsidR="00BC5583">
        <w:t xml:space="preserve"> на </w:t>
      </w:r>
      <w:r w:rsidR="00526DB6">
        <w:t>веб-</w:t>
      </w:r>
      <w:r w:rsidR="00BC5583">
        <w:t xml:space="preserve">сайті районної </w:t>
      </w:r>
      <w:r w:rsidR="00526DB6">
        <w:t xml:space="preserve">державної </w:t>
      </w:r>
      <w:r w:rsidR="00BC5583">
        <w:t>адміністрації</w:t>
      </w:r>
      <w:r w:rsidR="00526DB6">
        <w:t xml:space="preserve"> та місцях інформування населення на території сільських і селищних рад району </w:t>
      </w:r>
      <w:r w:rsidR="00BC5583">
        <w:t xml:space="preserve">роз’яснення </w:t>
      </w:r>
      <w:r w:rsidR="00526DB6">
        <w:t xml:space="preserve">щодо </w:t>
      </w:r>
      <w:r w:rsidR="00BC5583">
        <w:t xml:space="preserve">основних аспектів мобілізації в </w:t>
      </w:r>
      <w:r w:rsidR="00526DB6">
        <w:t>районі</w:t>
      </w:r>
      <w:r w:rsidR="00BC5583">
        <w:t xml:space="preserve"> та</w:t>
      </w:r>
      <w:r w:rsidR="00833FE7">
        <w:t xml:space="preserve"> про проведення антитерористичної операції;</w:t>
      </w:r>
    </w:p>
    <w:p w:rsidR="00833FE7" w:rsidRDefault="00EB4B49" w:rsidP="00833FE7">
      <w:pPr>
        <w:pStyle w:val="21"/>
        <w:jc w:val="both"/>
      </w:pPr>
      <w:r>
        <w:t>2</w:t>
      </w:r>
      <w:r w:rsidR="00833FE7">
        <w:t>) </w:t>
      </w:r>
      <w:r w:rsidR="00526DB6">
        <w:t>головно</w:t>
      </w:r>
      <w:r w:rsidR="00143C40">
        <w:t>го</w:t>
      </w:r>
      <w:r w:rsidR="00526DB6">
        <w:t xml:space="preserve"> лікар</w:t>
      </w:r>
      <w:r w:rsidR="00143C40">
        <w:t>я</w:t>
      </w:r>
      <w:r w:rsidR="00526DB6">
        <w:t xml:space="preserve"> центральної районної лікарні Коновал</w:t>
      </w:r>
      <w:r w:rsidR="00453D0C">
        <w:t>а</w:t>
      </w:r>
      <w:r>
        <w:t xml:space="preserve"> С.М.</w:t>
      </w:r>
      <w:r w:rsidR="00833FE7">
        <w:t>організувати виділення медичного персоналу для роботи у військово-лікарськ</w:t>
      </w:r>
      <w:r w:rsidR="00526DB6">
        <w:t>ій</w:t>
      </w:r>
      <w:r w:rsidR="00833FE7">
        <w:t xml:space="preserve"> комісі</w:t>
      </w:r>
      <w:r w:rsidR="00526DB6">
        <w:t>ї</w:t>
      </w:r>
      <w:r w:rsidR="00833FE7">
        <w:t xml:space="preserve"> з медично</w:t>
      </w:r>
      <w:r w:rsidR="00453D0C">
        <w:t>го огляду військовозобов’язаних.</w:t>
      </w:r>
    </w:p>
    <w:p w:rsidR="00453D0C" w:rsidRDefault="00453D0C" w:rsidP="00833FE7">
      <w:pPr>
        <w:pStyle w:val="21"/>
        <w:jc w:val="both"/>
      </w:pPr>
      <w:r>
        <w:t>2. РЕКОМЕНДУЮ:</w:t>
      </w:r>
    </w:p>
    <w:p w:rsidR="00833FE7" w:rsidRDefault="00453D0C" w:rsidP="00833FE7">
      <w:pPr>
        <w:pStyle w:val="21"/>
        <w:jc w:val="both"/>
      </w:pPr>
      <w:r>
        <w:t>1</w:t>
      </w:r>
      <w:r w:rsidR="00833FE7">
        <w:t>) </w:t>
      </w:r>
      <w:r w:rsidR="00526DB6">
        <w:t>сільськи</w:t>
      </w:r>
      <w:r>
        <w:t>м</w:t>
      </w:r>
      <w:r w:rsidR="00526DB6">
        <w:t xml:space="preserve"> та селищни</w:t>
      </w:r>
      <w:r>
        <w:t>мголовам</w:t>
      </w:r>
      <w:r w:rsidR="00526DB6">
        <w:t>, керівник</w:t>
      </w:r>
      <w:r>
        <w:t>ам</w:t>
      </w:r>
      <w:r w:rsidR="00526DB6">
        <w:t xml:space="preserve"> підприємств, установ та організацій </w:t>
      </w:r>
      <w:r w:rsidR="00AD386C">
        <w:t>(незалежно від форм власності)</w:t>
      </w:r>
      <w:r w:rsidR="009D6A4A">
        <w:t>організувати під час мобілізації в установленому порядку</w:t>
      </w:r>
      <w:r w:rsidR="00833FE7">
        <w:t>:</w:t>
      </w:r>
    </w:p>
    <w:p w:rsidR="00833FE7" w:rsidRDefault="00833FE7" w:rsidP="00833FE7">
      <w:pPr>
        <w:pStyle w:val="21"/>
        <w:jc w:val="both"/>
      </w:pPr>
      <w:r>
        <w:t xml:space="preserve">- </w:t>
      </w:r>
      <w:r w:rsidR="005C5E36">
        <w:t>своєчасне оповіщення та прибуття громадян, які призиваються на військову службу, і техніки на збірні пункти та у військові частини</w:t>
      </w:r>
      <w:r>
        <w:t>;</w:t>
      </w:r>
    </w:p>
    <w:p w:rsidR="00833FE7" w:rsidRDefault="00833FE7" w:rsidP="00833FE7">
      <w:pPr>
        <w:ind w:firstLine="720"/>
        <w:jc w:val="both"/>
        <w:rPr>
          <w:sz w:val="28"/>
        </w:rPr>
      </w:pPr>
      <w:r w:rsidRPr="00115EF5">
        <w:rPr>
          <w:sz w:val="28"/>
          <w:szCs w:val="28"/>
        </w:rPr>
        <w:t>- </w:t>
      </w:r>
      <w:r w:rsidR="00115EF5" w:rsidRPr="00115EF5">
        <w:rPr>
          <w:sz w:val="28"/>
          <w:szCs w:val="28"/>
        </w:rPr>
        <w:t>роз’яснювально-агітаційну роботу серед населення</w:t>
      </w:r>
      <w:r>
        <w:rPr>
          <w:sz w:val="28"/>
        </w:rPr>
        <w:t>;</w:t>
      </w:r>
    </w:p>
    <w:p w:rsidR="00833FE7" w:rsidRDefault="00833FE7" w:rsidP="00833FE7">
      <w:pPr>
        <w:ind w:firstLine="720"/>
        <w:jc w:val="both"/>
        <w:rPr>
          <w:sz w:val="28"/>
        </w:rPr>
      </w:pPr>
      <w:r>
        <w:rPr>
          <w:sz w:val="28"/>
        </w:rPr>
        <w:t>-  виділ</w:t>
      </w:r>
      <w:r w:rsidR="00115EF5">
        <w:rPr>
          <w:sz w:val="28"/>
        </w:rPr>
        <w:t>ення</w:t>
      </w:r>
      <w:r>
        <w:rPr>
          <w:sz w:val="28"/>
        </w:rPr>
        <w:t xml:space="preserve"> військовим організаційним структурам Збройних сил України, інших військових формувань будівлі, споруди, земельні ділянки, транспортні та інші матеріально-технічні засоби, організувати надання необхідних послуг;</w:t>
      </w:r>
    </w:p>
    <w:p w:rsidR="00C8034A" w:rsidRDefault="00C8034A" w:rsidP="00833FE7">
      <w:pPr>
        <w:ind w:firstLine="720"/>
        <w:jc w:val="both"/>
        <w:rPr>
          <w:sz w:val="28"/>
        </w:rPr>
      </w:pPr>
    </w:p>
    <w:p w:rsidR="00C8034A" w:rsidRDefault="00C8034A" w:rsidP="00C8034A">
      <w:pPr>
        <w:ind w:firstLine="720"/>
        <w:jc w:val="center"/>
        <w:rPr>
          <w:sz w:val="28"/>
        </w:rPr>
      </w:pPr>
      <w:r>
        <w:rPr>
          <w:sz w:val="28"/>
        </w:rPr>
        <w:t>2</w:t>
      </w:r>
    </w:p>
    <w:p w:rsidR="00833FE7" w:rsidRDefault="00526DB6" w:rsidP="00453D0C">
      <w:pPr>
        <w:pStyle w:val="21"/>
        <w:jc w:val="both"/>
      </w:pPr>
      <w:r>
        <w:t>- сприя</w:t>
      </w:r>
      <w:r w:rsidR="00115EF5">
        <w:t>ння</w:t>
      </w:r>
      <w:r>
        <w:t xml:space="preserve"> Луцькому об’єднаному міському військовому комісаріату</w:t>
      </w:r>
      <w:r w:rsidR="00833FE7">
        <w:t xml:space="preserve"> у </w:t>
      </w:r>
      <w:r>
        <w:t>його</w:t>
      </w:r>
      <w:r w:rsidR="00833FE7">
        <w:t xml:space="preserve"> роботі під час мобілізації</w:t>
      </w:r>
      <w:r w:rsidR="00115EF5">
        <w:t>.</w:t>
      </w:r>
    </w:p>
    <w:p w:rsidR="00833FE7" w:rsidRDefault="00453D0C" w:rsidP="00833FE7">
      <w:pPr>
        <w:ind w:firstLine="720"/>
        <w:jc w:val="both"/>
        <w:rPr>
          <w:sz w:val="28"/>
        </w:rPr>
      </w:pPr>
      <w:r>
        <w:rPr>
          <w:sz w:val="28"/>
        </w:rPr>
        <w:t>2</w:t>
      </w:r>
      <w:r w:rsidR="00833FE7">
        <w:rPr>
          <w:sz w:val="28"/>
        </w:rPr>
        <w:t xml:space="preserve">) військовому комісару </w:t>
      </w:r>
      <w:r w:rsidR="000E3785" w:rsidRPr="000E3785">
        <w:rPr>
          <w:sz w:val="28"/>
          <w:szCs w:val="28"/>
        </w:rPr>
        <w:t>Луцько</w:t>
      </w:r>
      <w:r w:rsidR="000E3785">
        <w:rPr>
          <w:sz w:val="28"/>
          <w:szCs w:val="28"/>
        </w:rPr>
        <w:t>го</w:t>
      </w:r>
      <w:r w:rsidR="000E3785" w:rsidRPr="000E3785">
        <w:rPr>
          <w:sz w:val="28"/>
          <w:szCs w:val="28"/>
        </w:rPr>
        <w:t xml:space="preserve"> об’єднано</w:t>
      </w:r>
      <w:r w:rsidR="000E3785">
        <w:rPr>
          <w:sz w:val="28"/>
          <w:szCs w:val="28"/>
        </w:rPr>
        <w:t>го</w:t>
      </w:r>
      <w:r w:rsidR="000E3785" w:rsidRPr="000E3785">
        <w:rPr>
          <w:sz w:val="28"/>
          <w:szCs w:val="28"/>
        </w:rPr>
        <w:t xml:space="preserve"> місько</w:t>
      </w:r>
      <w:r w:rsidR="000E3785">
        <w:rPr>
          <w:sz w:val="28"/>
          <w:szCs w:val="28"/>
        </w:rPr>
        <w:t>го</w:t>
      </w:r>
      <w:r w:rsidR="000E3785" w:rsidRPr="000E3785">
        <w:rPr>
          <w:sz w:val="28"/>
          <w:szCs w:val="28"/>
        </w:rPr>
        <w:t xml:space="preserve"> військово</w:t>
      </w:r>
      <w:r w:rsidR="000E3785">
        <w:rPr>
          <w:sz w:val="28"/>
          <w:szCs w:val="28"/>
        </w:rPr>
        <w:t>го</w:t>
      </w:r>
      <w:r w:rsidR="000E3785" w:rsidRPr="000E3785">
        <w:rPr>
          <w:sz w:val="28"/>
          <w:szCs w:val="28"/>
        </w:rPr>
        <w:t xml:space="preserve"> комісаріату</w:t>
      </w:r>
      <w:r w:rsidR="000E3785">
        <w:rPr>
          <w:sz w:val="28"/>
        </w:rPr>
        <w:t>Худику В.М.</w:t>
      </w:r>
      <w:r w:rsidR="00833FE7">
        <w:rPr>
          <w:sz w:val="28"/>
        </w:rPr>
        <w:t>:</w:t>
      </w:r>
    </w:p>
    <w:p w:rsidR="00833FE7" w:rsidRDefault="00833FE7" w:rsidP="00833FE7">
      <w:pPr>
        <w:ind w:firstLine="720"/>
        <w:jc w:val="both"/>
      </w:pPr>
      <w:r>
        <w:rPr>
          <w:sz w:val="28"/>
        </w:rPr>
        <w:t>- забезпечити ефективне керівництво проведенням мобілізації людських і транспортних ресурсів</w:t>
      </w:r>
      <w:r>
        <w:t>;</w:t>
      </w:r>
    </w:p>
    <w:p w:rsidR="00833FE7" w:rsidRDefault="00453D0C" w:rsidP="00833FE7">
      <w:pPr>
        <w:pStyle w:val="31"/>
        <w:tabs>
          <w:tab w:val="clear" w:pos="720"/>
        </w:tabs>
      </w:pPr>
      <w:r>
        <w:t>- надати</w:t>
      </w:r>
      <w:r w:rsidR="000E3785">
        <w:t>сільськи</w:t>
      </w:r>
      <w:r>
        <w:t>м</w:t>
      </w:r>
      <w:r w:rsidR="000E3785">
        <w:t xml:space="preserve"> та селищни</w:t>
      </w:r>
      <w:r>
        <w:t xml:space="preserve">м головам </w:t>
      </w:r>
      <w:r w:rsidR="000E3785">
        <w:t>району</w:t>
      </w:r>
      <w:r w:rsidR="00833FE7">
        <w:t xml:space="preserve"> методичні рекомендації щодо мети, цілей та порядку проведення мобілізації, які військовозобов’язані підлягають мобілізації, відповідальності, яка наступає за ухилення від призову до лав Збройних сил України, інших військових формувань;</w:t>
      </w:r>
    </w:p>
    <w:p w:rsidR="00833FE7" w:rsidRDefault="00DC50AA" w:rsidP="00833FE7">
      <w:pPr>
        <w:ind w:firstLine="720"/>
        <w:jc w:val="both"/>
        <w:rPr>
          <w:sz w:val="28"/>
        </w:rPr>
      </w:pPr>
      <w:r>
        <w:rPr>
          <w:sz w:val="28"/>
        </w:rPr>
        <w:t>3</w:t>
      </w:r>
      <w:r w:rsidR="00833FE7">
        <w:rPr>
          <w:sz w:val="28"/>
        </w:rPr>
        <w:t>) </w:t>
      </w:r>
      <w:r w:rsidR="000E3785">
        <w:rPr>
          <w:sz w:val="28"/>
        </w:rPr>
        <w:t xml:space="preserve">Луцькому районному відділу </w:t>
      </w:r>
      <w:r w:rsidR="000E3785" w:rsidRPr="000E3785">
        <w:rPr>
          <w:sz w:val="28"/>
          <w:szCs w:val="28"/>
        </w:rPr>
        <w:t>УМВС України у Волинській області</w:t>
      </w:r>
      <w:r>
        <w:rPr>
          <w:sz w:val="28"/>
        </w:rPr>
        <w:t>(</w:t>
      </w:r>
      <w:r w:rsidR="000E3785">
        <w:rPr>
          <w:sz w:val="28"/>
        </w:rPr>
        <w:t>Тягунов</w:t>
      </w:r>
      <w:r w:rsidR="00115EF5">
        <w:rPr>
          <w:sz w:val="28"/>
        </w:rPr>
        <w:t xml:space="preserve"> С.М.</w:t>
      </w:r>
      <w:r>
        <w:rPr>
          <w:sz w:val="28"/>
        </w:rPr>
        <w:t>)</w:t>
      </w:r>
      <w:r w:rsidR="00833FE7">
        <w:rPr>
          <w:sz w:val="28"/>
        </w:rPr>
        <w:t>забезпечити:</w:t>
      </w:r>
    </w:p>
    <w:p w:rsidR="00833FE7" w:rsidRDefault="00833FE7" w:rsidP="00833FE7">
      <w:pPr>
        <w:ind w:firstLine="720"/>
        <w:jc w:val="both"/>
        <w:rPr>
          <w:sz w:val="28"/>
        </w:rPr>
      </w:pPr>
      <w:r>
        <w:rPr>
          <w:sz w:val="28"/>
        </w:rPr>
        <w:t xml:space="preserve">- дотримання правопорядку під час проведення мобілізації; </w:t>
      </w:r>
    </w:p>
    <w:p w:rsidR="00833FE7" w:rsidRDefault="00833FE7" w:rsidP="00833FE7">
      <w:pPr>
        <w:ind w:left="720"/>
        <w:jc w:val="both"/>
        <w:rPr>
          <w:sz w:val="28"/>
        </w:rPr>
      </w:pPr>
      <w:r>
        <w:rPr>
          <w:sz w:val="28"/>
        </w:rPr>
        <w:t>- розшук військовозобов’язаних, які ухиляються від призову;</w:t>
      </w:r>
    </w:p>
    <w:p w:rsidR="00833FE7" w:rsidRDefault="00833FE7" w:rsidP="00833FE7">
      <w:pPr>
        <w:pStyle w:val="31"/>
        <w:tabs>
          <w:tab w:val="clear" w:pos="720"/>
        </w:tabs>
      </w:pPr>
      <w:r>
        <w:t>- здійснення супроводу при перевезенні військовозобов’язаних, зброї та боєприпасів;</w:t>
      </w:r>
    </w:p>
    <w:p w:rsidR="00833FE7" w:rsidRDefault="00833FE7" w:rsidP="00833FE7">
      <w:pPr>
        <w:ind w:firstLine="720"/>
        <w:jc w:val="both"/>
        <w:rPr>
          <w:sz w:val="28"/>
        </w:rPr>
      </w:pPr>
      <w:r>
        <w:rPr>
          <w:sz w:val="28"/>
        </w:rPr>
        <w:t>- виконання чинного законодавства керівниками підприємств, установ, організацій під час вилучення техніки при мобілізації;</w:t>
      </w:r>
    </w:p>
    <w:p w:rsidR="00833FE7" w:rsidRDefault="00DC50AA" w:rsidP="00833FE7">
      <w:pPr>
        <w:ind w:firstLine="720"/>
        <w:jc w:val="both"/>
        <w:rPr>
          <w:sz w:val="28"/>
        </w:rPr>
      </w:pPr>
      <w:r>
        <w:rPr>
          <w:sz w:val="28"/>
        </w:rPr>
        <w:t>4</w:t>
      </w:r>
      <w:r w:rsidR="00833FE7">
        <w:rPr>
          <w:sz w:val="28"/>
        </w:rPr>
        <w:t>) керівникам підприємств, установ, організацій (незалежно від форм власності) забезпечити своєчасне прибуття визначених працівників та доставку призначеної техніки згідно часткових нарядів на збірні пункти військових комісаріатів або у військові частини.</w:t>
      </w:r>
    </w:p>
    <w:p w:rsidR="00833FE7" w:rsidRDefault="00DC50AA" w:rsidP="00833FE7">
      <w:pPr>
        <w:pStyle w:val="21"/>
        <w:jc w:val="both"/>
      </w:pPr>
      <w:r>
        <w:t>3</w:t>
      </w:r>
      <w:r w:rsidR="00833FE7">
        <w:t xml:space="preserve">. Здійснення контролю за ходом проведення часткової мобілізації залишаю за собою. </w:t>
      </w:r>
    </w:p>
    <w:p w:rsidR="00833FE7" w:rsidRDefault="00833FE7" w:rsidP="00833FE7">
      <w:pPr>
        <w:jc w:val="center"/>
        <w:rPr>
          <w:sz w:val="40"/>
        </w:rPr>
      </w:pPr>
    </w:p>
    <w:p w:rsidR="00833FE7" w:rsidRDefault="00833FE7" w:rsidP="00833FE7">
      <w:pPr>
        <w:jc w:val="center"/>
        <w:rPr>
          <w:sz w:val="40"/>
        </w:rPr>
      </w:pPr>
    </w:p>
    <w:p w:rsidR="00833FE7" w:rsidRDefault="00833FE7" w:rsidP="00833FE7">
      <w:pPr>
        <w:jc w:val="center"/>
        <w:rPr>
          <w:sz w:val="40"/>
        </w:rPr>
      </w:pPr>
    </w:p>
    <w:p w:rsidR="00833FE7" w:rsidRDefault="00833FE7" w:rsidP="00833FE7">
      <w:pPr>
        <w:rPr>
          <w:b/>
          <w:bCs/>
          <w:sz w:val="28"/>
        </w:rPr>
      </w:pPr>
      <w:r>
        <w:rPr>
          <w:sz w:val="28"/>
        </w:rPr>
        <w:t xml:space="preserve">Голова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="007106CA">
        <w:rPr>
          <w:b/>
          <w:bCs/>
          <w:sz w:val="28"/>
        </w:rPr>
        <w:t xml:space="preserve">                                                                          </w:t>
      </w:r>
      <w:r w:rsidR="00AA6833">
        <w:rPr>
          <w:b/>
          <w:bCs/>
          <w:sz w:val="28"/>
        </w:rPr>
        <w:t>Ю.ЦЕЙ</w:t>
      </w:r>
      <w:r w:rsidR="0018451B">
        <w:rPr>
          <w:b/>
          <w:bCs/>
          <w:sz w:val="28"/>
        </w:rPr>
        <w:t>К</w:t>
      </w:r>
      <w:r w:rsidR="00AA6833">
        <w:rPr>
          <w:b/>
          <w:bCs/>
          <w:sz w:val="28"/>
        </w:rPr>
        <w:t>О</w:t>
      </w:r>
    </w:p>
    <w:p w:rsidR="00833FE7" w:rsidRDefault="00833FE7" w:rsidP="00833FE7">
      <w:pPr>
        <w:jc w:val="center"/>
        <w:rPr>
          <w:sz w:val="28"/>
        </w:rPr>
      </w:pPr>
    </w:p>
    <w:p w:rsidR="00833FE7" w:rsidRDefault="00833FE7" w:rsidP="00833FE7">
      <w:pPr>
        <w:rPr>
          <w:sz w:val="28"/>
        </w:rPr>
      </w:pPr>
    </w:p>
    <w:p w:rsidR="00833FE7" w:rsidRDefault="00833FE7" w:rsidP="00833FE7">
      <w:pPr>
        <w:rPr>
          <w:sz w:val="28"/>
        </w:rPr>
      </w:pPr>
    </w:p>
    <w:p w:rsidR="00833FE7" w:rsidRDefault="00AA6833" w:rsidP="00833FE7">
      <w:pPr>
        <w:pStyle w:val="5"/>
        <w:rPr>
          <w:spacing w:val="0"/>
        </w:rPr>
      </w:pPr>
      <w:r>
        <w:rPr>
          <w:spacing w:val="0"/>
        </w:rPr>
        <w:t>Куренной</w:t>
      </w:r>
      <w:r w:rsidR="00833FE7">
        <w:rPr>
          <w:spacing w:val="0"/>
        </w:rPr>
        <w:t xml:space="preserve">  7</w:t>
      </w:r>
      <w:r>
        <w:rPr>
          <w:spacing w:val="0"/>
        </w:rPr>
        <w:t>28</w:t>
      </w:r>
      <w:r w:rsidR="00833FE7">
        <w:rPr>
          <w:spacing w:val="0"/>
        </w:rPr>
        <w:t xml:space="preserve">  16</w:t>
      </w:r>
      <w:r>
        <w:rPr>
          <w:spacing w:val="0"/>
        </w:rPr>
        <w:t>2</w:t>
      </w:r>
    </w:p>
    <w:p w:rsidR="00833FE7" w:rsidRDefault="00833FE7" w:rsidP="00833FE7"/>
    <w:p w:rsidR="00833FE7" w:rsidRDefault="00833FE7" w:rsidP="00833FE7"/>
    <w:p w:rsidR="00833FE7" w:rsidRDefault="00833FE7" w:rsidP="00833FE7"/>
    <w:p w:rsidR="00115EF5" w:rsidRDefault="00115EF5" w:rsidP="00833FE7"/>
    <w:p w:rsidR="00115EF5" w:rsidRDefault="00115EF5" w:rsidP="00833FE7"/>
    <w:p w:rsidR="00115EF5" w:rsidRDefault="00115EF5" w:rsidP="00833FE7"/>
    <w:p w:rsidR="00115EF5" w:rsidRDefault="00115EF5" w:rsidP="00833FE7"/>
    <w:p w:rsidR="00115EF5" w:rsidRDefault="00115EF5" w:rsidP="00833FE7"/>
    <w:p w:rsidR="00115EF5" w:rsidRDefault="00115EF5" w:rsidP="00833FE7"/>
    <w:p w:rsidR="00115EF5" w:rsidRDefault="00115EF5" w:rsidP="00833FE7"/>
    <w:p w:rsidR="00115EF5" w:rsidRDefault="00115EF5" w:rsidP="00833FE7"/>
    <w:p w:rsidR="00115EF5" w:rsidRDefault="00115EF5" w:rsidP="00833FE7"/>
    <w:p w:rsidR="00115EF5" w:rsidRDefault="00115EF5" w:rsidP="00833FE7"/>
    <w:p w:rsidR="00833FE7" w:rsidRDefault="00833FE7" w:rsidP="00833FE7"/>
    <w:p w:rsidR="00C8034A" w:rsidRDefault="00C8034A" w:rsidP="00833FE7"/>
    <w:sectPr w:rsidR="00C8034A" w:rsidSect="00453D0C">
      <w:headerReference w:type="even" r:id="rId7"/>
      <w:pgSz w:w="11906" w:h="16838"/>
      <w:pgMar w:top="567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18A" w:rsidRDefault="001D118A">
      <w:r>
        <w:separator/>
      </w:r>
    </w:p>
  </w:endnote>
  <w:endnote w:type="continuationSeparator" w:id="1">
    <w:p w:rsidR="001D118A" w:rsidRDefault="001D1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18A" w:rsidRDefault="001D118A">
      <w:r>
        <w:separator/>
      </w:r>
    </w:p>
  </w:footnote>
  <w:footnote w:type="continuationSeparator" w:id="1">
    <w:p w:rsidR="001D118A" w:rsidRDefault="001D1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B8" w:rsidRDefault="00FE5B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22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17B8" w:rsidRDefault="001D118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33FE7"/>
    <w:rsid w:val="000E3785"/>
    <w:rsid w:val="00115EF5"/>
    <w:rsid w:val="00143C40"/>
    <w:rsid w:val="0018451B"/>
    <w:rsid w:val="001D118A"/>
    <w:rsid w:val="002B2B1B"/>
    <w:rsid w:val="002E4E77"/>
    <w:rsid w:val="00310E5F"/>
    <w:rsid w:val="0035236B"/>
    <w:rsid w:val="00453D0C"/>
    <w:rsid w:val="004D390C"/>
    <w:rsid w:val="00526DB6"/>
    <w:rsid w:val="005C5E36"/>
    <w:rsid w:val="006B69BC"/>
    <w:rsid w:val="00702A65"/>
    <w:rsid w:val="007106CA"/>
    <w:rsid w:val="00833FE7"/>
    <w:rsid w:val="008509AC"/>
    <w:rsid w:val="00882229"/>
    <w:rsid w:val="008B55A4"/>
    <w:rsid w:val="009D6A4A"/>
    <w:rsid w:val="00A13474"/>
    <w:rsid w:val="00AA6833"/>
    <w:rsid w:val="00AD386C"/>
    <w:rsid w:val="00B35EA5"/>
    <w:rsid w:val="00BC5583"/>
    <w:rsid w:val="00C8034A"/>
    <w:rsid w:val="00D031A8"/>
    <w:rsid w:val="00DC50AA"/>
    <w:rsid w:val="00EB4B49"/>
    <w:rsid w:val="00FE5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33FE7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2B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qFormat/>
    <w:rsid w:val="00833FE7"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link w:val="60"/>
    <w:qFormat/>
    <w:rsid w:val="00833FE7"/>
    <w:pPr>
      <w:keepNext/>
      <w:jc w:val="center"/>
      <w:outlineLvl w:val="5"/>
    </w:pPr>
    <w:rPr>
      <w:spacing w:val="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3FE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33FE7"/>
    <w:rPr>
      <w:rFonts w:ascii="Times New Roman" w:eastAsia="Times New Roman" w:hAnsi="Times New Roman" w:cs="Times New Roman"/>
      <w:spacing w:val="8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33FE7"/>
    <w:rPr>
      <w:rFonts w:ascii="Times New Roman" w:eastAsia="Times New Roman" w:hAnsi="Times New Roman" w:cs="Times New Roman"/>
      <w:spacing w:val="8"/>
      <w:sz w:val="28"/>
      <w:szCs w:val="24"/>
      <w:lang w:eastAsia="ru-RU"/>
    </w:rPr>
  </w:style>
  <w:style w:type="paragraph" w:styleId="21">
    <w:name w:val="Body Text Indent 2"/>
    <w:basedOn w:val="a"/>
    <w:link w:val="22"/>
    <w:rsid w:val="00833FE7"/>
    <w:pPr>
      <w:ind w:firstLine="72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833F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833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3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33FE7"/>
  </w:style>
  <w:style w:type="paragraph" w:styleId="31">
    <w:name w:val="Body Text Indent 3"/>
    <w:basedOn w:val="a"/>
    <w:link w:val="32"/>
    <w:rsid w:val="00833FE7"/>
    <w:pPr>
      <w:tabs>
        <w:tab w:val="left" w:pos="72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833F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347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347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B2B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3D0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3D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2014-08-11T13:20:00Z</cp:lastPrinted>
  <dcterms:created xsi:type="dcterms:W3CDTF">2014-08-08T06:25:00Z</dcterms:created>
  <dcterms:modified xsi:type="dcterms:W3CDTF">2014-08-15T09:12:00Z</dcterms:modified>
</cp:coreProperties>
</file>